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91C4C" w14:textId="77777777" w:rsidR="00B86A5F" w:rsidRPr="006858F7" w:rsidRDefault="00B86A5F" w:rsidP="00B86A5F">
      <w:pPr>
        <w:jc w:val="center"/>
        <w:rPr>
          <w:rFonts w:ascii="Century Gothic" w:hAnsi="Century Gothic" w:cs="Times New Roman"/>
          <w:b/>
          <w:sz w:val="22"/>
        </w:rPr>
      </w:pPr>
      <w:r w:rsidRPr="006858F7">
        <w:rPr>
          <w:rFonts w:ascii="Century Gothic" w:hAnsi="Century Gothic" w:cs="Times New Roman"/>
          <w:b/>
          <w:sz w:val="22"/>
        </w:rPr>
        <w:t xml:space="preserve">INFORME DE PONENCIA PARA </w:t>
      </w:r>
      <w:r w:rsidR="00AC6528" w:rsidRPr="006858F7">
        <w:rPr>
          <w:rFonts w:ascii="Century Gothic" w:hAnsi="Century Gothic" w:cs="Times New Roman"/>
          <w:b/>
          <w:sz w:val="22"/>
        </w:rPr>
        <w:t>SEGUNDO</w:t>
      </w:r>
      <w:r w:rsidRPr="006858F7">
        <w:rPr>
          <w:rFonts w:ascii="Century Gothic" w:hAnsi="Century Gothic" w:cs="Times New Roman"/>
          <w:b/>
          <w:sz w:val="22"/>
        </w:rPr>
        <w:t xml:space="preserve"> DEBATE </w:t>
      </w:r>
      <w:r w:rsidR="00AC6528" w:rsidRPr="006858F7">
        <w:rPr>
          <w:rFonts w:ascii="Century Gothic" w:hAnsi="Century Gothic" w:cs="Times New Roman"/>
          <w:b/>
          <w:sz w:val="22"/>
        </w:rPr>
        <w:t xml:space="preserve">EN PLENARIA DE LA CÁMARA DE REPRESENTANTES </w:t>
      </w:r>
      <w:r w:rsidRPr="006858F7">
        <w:rPr>
          <w:rFonts w:ascii="Century Gothic" w:hAnsi="Century Gothic" w:cs="Times New Roman"/>
          <w:b/>
          <w:sz w:val="22"/>
        </w:rPr>
        <w:t xml:space="preserve">AL PROYECTO DE LEY </w:t>
      </w:r>
      <w:r w:rsidR="00BF6501" w:rsidRPr="006858F7">
        <w:rPr>
          <w:rFonts w:ascii="Century Gothic" w:hAnsi="Century Gothic" w:cs="Times New Roman"/>
          <w:b/>
          <w:sz w:val="22"/>
        </w:rPr>
        <w:t>201 de 2018 CÁMARA/1</w:t>
      </w:r>
      <w:r w:rsidRPr="006858F7">
        <w:rPr>
          <w:rFonts w:ascii="Century Gothic" w:hAnsi="Century Gothic" w:cs="Times New Roman"/>
          <w:b/>
          <w:sz w:val="22"/>
        </w:rPr>
        <w:t>39 DE 2017 SENADO</w:t>
      </w:r>
    </w:p>
    <w:p w14:paraId="4FDF5E5C" w14:textId="77777777" w:rsidR="00B86A5F" w:rsidRPr="006858F7" w:rsidRDefault="00B86A5F" w:rsidP="00B86A5F">
      <w:pPr>
        <w:jc w:val="center"/>
        <w:rPr>
          <w:rFonts w:ascii="Century Gothic" w:hAnsi="Century Gothic" w:cs="Times New Roman"/>
          <w:b/>
          <w:sz w:val="22"/>
        </w:rPr>
      </w:pPr>
      <w:r w:rsidRPr="006858F7">
        <w:rPr>
          <w:rFonts w:ascii="Century Gothic" w:hAnsi="Century Gothic" w:cs="Times New Roman"/>
          <w:b/>
          <w:sz w:val="22"/>
        </w:rPr>
        <w:t>“POR MEDIO DE LA CUAL SE MODIFICAN Y ADICIONAN ARTÍCULOS DE LA LEY 599 DE 2000 Y LA LEY 906 DE 2004 EN RELACIÓN CON EL DELITO DE VIOLENCIA INTRAFAMILIAR”</w:t>
      </w:r>
    </w:p>
    <w:p w14:paraId="4733C597" w14:textId="77777777" w:rsidR="00B86A5F" w:rsidRPr="006858F7" w:rsidRDefault="00B86A5F" w:rsidP="00B86A5F">
      <w:pPr>
        <w:jc w:val="center"/>
        <w:rPr>
          <w:rFonts w:ascii="Century Gothic" w:hAnsi="Century Gothic" w:cs="Times New Roman"/>
          <w:b/>
          <w:sz w:val="22"/>
        </w:rPr>
      </w:pPr>
    </w:p>
    <w:p w14:paraId="2830075A" w14:textId="314D149A" w:rsidR="00B86A5F" w:rsidRPr="006858F7" w:rsidRDefault="00B86A5F" w:rsidP="00B86A5F">
      <w:pPr>
        <w:rPr>
          <w:rFonts w:ascii="Century Gothic" w:hAnsi="Century Gothic" w:cs="Times New Roman"/>
          <w:sz w:val="22"/>
        </w:rPr>
      </w:pPr>
      <w:r w:rsidRPr="006858F7">
        <w:rPr>
          <w:rFonts w:ascii="Century Gothic" w:hAnsi="Century Gothic" w:cs="Times New Roman"/>
          <w:sz w:val="22"/>
        </w:rPr>
        <w:t>Bogotá</w:t>
      </w:r>
      <w:r w:rsidR="006858F7">
        <w:rPr>
          <w:rFonts w:ascii="Century Gothic" w:hAnsi="Century Gothic" w:cs="Times New Roman"/>
          <w:sz w:val="22"/>
        </w:rPr>
        <w:t xml:space="preserve"> </w:t>
      </w:r>
      <w:r w:rsidRPr="006858F7">
        <w:rPr>
          <w:rFonts w:ascii="Century Gothic" w:hAnsi="Century Gothic" w:cs="Times New Roman"/>
          <w:sz w:val="22"/>
        </w:rPr>
        <w:t xml:space="preserve">D.C., </w:t>
      </w:r>
      <w:r w:rsidR="005D0230" w:rsidRPr="006858F7">
        <w:rPr>
          <w:rFonts w:ascii="Century Gothic" w:hAnsi="Century Gothic" w:cs="Times New Roman"/>
          <w:sz w:val="22"/>
        </w:rPr>
        <w:t>1</w:t>
      </w:r>
      <w:r w:rsidR="006858F7">
        <w:rPr>
          <w:rFonts w:ascii="Century Gothic" w:hAnsi="Century Gothic" w:cs="Times New Roman"/>
          <w:sz w:val="22"/>
        </w:rPr>
        <w:t>3</w:t>
      </w:r>
      <w:r w:rsidR="005D0230" w:rsidRPr="006858F7">
        <w:rPr>
          <w:rFonts w:ascii="Century Gothic" w:hAnsi="Century Gothic" w:cs="Times New Roman"/>
          <w:sz w:val="22"/>
        </w:rPr>
        <w:t xml:space="preserve"> de </w:t>
      </w:r>
      <w:r w:rsidR="00117417" w:rsidRPr="006858F7">
        <w:rPr>
          <w:rFonts w:ascii="Century Gothic" w:hAnsi="Century Gothic" w:cs="Times New Roman"/>
          <w:sz w:val="22"/>
        </w:rPr>
        <w:t>diciem</w:t>
      </w:r>
      <w:r w:rsidRPr="006858F7">
        <w:rPr>
          <w:rFonts w:ascii="Century Gothic" w:hAnsi="Century Gothic" w:cs="Times New Roman"/>
          <w:sz w:val="22"/>
        </w:rPr>
        <w:t>bre de 2018</w:t>
      </w:r>
    </w:p>
    <w:p w14:paraId="5596C4D6" w14:textId="77777777" w:rsidR="00B86A5F" w:rsidRPr="006858F7" w:rsidRDefault="00B86A5F" w:rsidP="00B86A5F">
      <w:pPr>
        <w:rPr>
          <w:rFonts w:ascii="Century Gothic" w:hAnsi="Century Gothic" w:cs="Times New Roman"/>
          <w:sz w:val="22"/>
        </w:rPr>
      </w:pPr>
    </w:p>
    <w:p w14:paraId="140A27FA"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Doctor</w:t>
      </w:r>
    </w:p>
    <w:p w14:paraId="64AC5A50" w14:textId="3208668F" w:rsidR="00B86A5F" w:rsidRPr="006858F7" w:rsidRDefault="00707BA5" w:rsidP="00B86A5F">
      <w:pPr>
        <w:pStyle w:val="Sinespaciado"/>
        <w:tabs>
          <w:tab w:val="left" w:pos="7290"/>
        </w:tabs>
        <w:rPr>
          <w:rFonts w:ascii="Century Gothic" w:hAnsi="Century Gothic" w:cs="Times New Roman"/>
          <w:b/>
          <w:sz w:val="22"/>
        </w:rPr>
      </w:pPr>
      <w:r w:rsidRPr="006858F7">
        <w:rPr>
          <w:rFonts w:ascii="Century Gothic" w:hAnsi="Century Gothic" w:cs="Times New Roman"/>
          <w:b/>
          <w:sz w:val="22"/>
        </w:rPr>
        <w:t xml:space="preserve">SAMUEL ALEJANDRO HOYOS MEJIA </w:t>
      </w:r>
      <w:r w:rsidR="00B86A5F" w:rsidRPr="006858F7">
        <w:rPr>
          <w:rFonts w:ascii="Century Gothic" w:hAnsi="Century Gothic" w:cs="Times New Roman"/>
          <w:b/>
          <w:sz w:val="22"/>
        </w:rPr>
        <w:tab/>
      </w:r>
    </w:p>
    <w:p w14:paraId="4311AD9E" w14:textId="6414C6D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Presidente de la</w:t>
      </w:r>
      <w:r w:rsidR="00707BA5" w:rsidRPr="006858F7">
        <w:rPr>
          <w:rFonts w:ascii="Century Gothic" w:hAnsi="Century Gothic" w:cs="Times New Roman"/>
          <w:sz w:val="22"/>
        </w:rPr>
        <w:t xml:space="preserve"> Comisión Primera de la </w:t>
      </w:r>
      <w:r w:rsidRPr="006858F7">
        <w:rPr>
          <w:rFonts w:ascii="Century Gothic" w:hAnsi="Century Gothic" w:cs="Times New Roman"/>
          <w:sz w:val="22"/>
        </w:rPr>
        <w:t xml:space="preserve"> Cámara de Representantes</w:t>
      </w:r>
    </w:p>
    <w:p w14:paraId="183E5839"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Honorable Cámara de Representantes</w:t>
      </w:r>
    </w:p>
    <w:p w14:paraId="2ACB43AC"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E.</w:t>
      </w:r>
      <w:r w:rsidRPr="006858F7">
        <w:rPr>
          <w:rFonts w:ascii="Century Gothic" w:hAnsi="Century Gothic" w:cs="Times New Roman"/>
          <w:sz w:val="22"/>
        </w:rPr>
        <w:tab/>
        <w:t>S.</w:t>
      </w:r>
      <w:r w:rsidRPr="006858F7">
        <w:rPr>
          <w:rFonts w:ascii="Century Gothic" w:hAnsi="Century Gothic" w:cs="Times New Roman"/>
          <w:sz w:val="22"/>
        </w:rPr>
        <w:tab/>
        <w:t>D.</w:t>
      </w:r>
    </w:p>
    <w:p w14:paraId="52EFE377" w14:textId="77777777" w:rsidR="00B86A5F" w:rsidRPr="006858F7" w:rsidRDefault="00B86A5F" w:rsidP="00B86A5F">
      <w:pPr>
        <w:pStyle w:val="Sinespaciado"/>
        <w:rPr>
          <w:rFonts w:ascii="Century Gothic" w:hAnsi="Century Gothic" w:cs="Times New Roman"/>
          <w:sz w:val="22"/>
        </w:rPr>
      </w:pPr>
    </w:p>
    <w:p w14:paraId="57F63F18" w14:textId="6CCEB3BC" w:rsidR="00B86A5F" w:rsidRPr="006858F7" w:rsidRDefault="00EF5B99" w:rsidP="00B86A5F">
      <w:pPr>
        <w:pStyle w:val="Sinespaciado"/>
        <w:ind w:left="1701"/>
        <w:rPr>
          <w:rFonts w:ascii="Century Gothic" w:hAnsi="Century Gothic" w:cs="Times New Roman"/>
          <w:b/>
          <w:sz w:val="20"/>
        </w:rPr>
      </w:pPr>
      <w:r>
        <w:rPr>
          <w:rFonts w:ascii="Century Gothic" w:hAnsi="Century Gothic" w:cs="Times New Roman"/>
          <w:b/>
          <w:sz w:val="20"/>
        </w:rPr>
        <w:t xml:space="preserve"> </w:t>
      </w:r>
      <w:bookmarkStart w:id="0" w:name="_GoBack"/>
      <w:bookmarkEnd w:id="0"/>
    </w:p>
    <w:p w14:paraId="1CDF6705" w14:textId="23E3AE7D" w:rsidR="00B86A5F" w:rsidRPr="006858F7" w:rsidRDefault="00B86A5F" w:rsidP="00B86A5F">
      <w:pPr>
        <w:pStyle w:val="Sinespaciado"/>
        <w:ind w:left="1701"/>
        <w:rPr>
          <w:rFonts w:ascii="Century Gothic" w:hAnsi="Century Gothic" w:cs="Times New Roman"/>
          <w:sz w:val="22"/>
        </w:rPr>
      </w:pPr>
      <w:r w:rsidRPr="006858F7">
        <w:rPr>
          <w:rFonts w:ascii="Century Gothic" w:hAnsi="Century Gothic" w:cs="Times New Roman"/>
          <w:b/>
          <w:sz w:val="20"/>
        </w:rPr>
        <w:t>ASUNTO</w:t>
      </w:r>
      <w:r w:rsidR="000230C5" w:rsidRPr="006858F7">
        <w:rPr>
          <w:rFonts w:ascii="Century Gothic" w:hAnsi="Century Gothic" w:cs="Times New Roman"/>
          <w:sz w:val="20"/>
        </w:rPr>
        <w:t xml:space="preserve">: Informe de ponencia </w:t>
      </w:r>
      <w:r w:rsidR="00707BA5" w:rsidRPr="006858F7">
        <w:rPr>
          <w:rFonts w:ascii="Century Gothic" w:hAnsi="Century Gothic" w:cs="Times New Roman"/>
          <w:sz w:val="20"/>
        </w:rPr>
        <w:t>para S</w:t>
      </w:r>
      <w:r w:rsidR="00AC6528" w:rsidRPr="006858F7">
        <w:rPr>
          <w:rFonts w:ascii="Century Gothic" w:hAnsi="Century Gothic" w:cs="Times New Roman"/>
          <w:sz w:val="20"/>
        </w:rPr>
        <w:t xml:space="preserve">egundo debate en Plenaria de la Cámara de Representantes </w:t>
      </w:r>
      <w:r w:rsidRPr="006858F7">
        <w:rPr>
          <w:rFonts w:ascii="Century Gothic" w:hAnsi="Century Gothic" w:cs="Times New Roman"/>
          <w:sz w:val="20"/>
        </w:rPr>
        <w:t xml:space="preserve">al Proyecto de Ley número </w:t>
      </w:r>
      <w:r w:rsidR="00AA7EC5" w:rsidRPr="006858F7">
        <w:rPr>
          <w:rFonts w:ascii="Century Gothic" w:hAnsi="Century Gothic" w:cs="Times New Roman"/>
          <w:sz w:val="20"/>
        </w:rPr>
        <w:t xml:space="preserve">201 de 2018 Cámara/ </w:t>
      </w:r>
      <w:r w:rsidRPr="006858F7">
        <w:rPr>
          <w:rFonts w:ascii="Century Gothic" w:hAnsi="Century Gothic" w:cs="Times New Roman"/>
          <w:sz w:val="20"/>
        </w:rPr>
        <w:t>139 de 2017 Senado, “Por medio de la cual se modifican y adicionan artículos de la Ley 599 de 2000 y la Ley 906 de 2004 en relación con el delito de violencia intrafamiliar”</w:t>
      </w:r>
    </w:p>
    <w:p w14:paraId="417FE27D" w14:textId="77777777" w:rsidR="00B86A5F" w:rsidRPr="006858F7" w:rsidRDefault="00B86A5F" w:rsidP="00B86A5F">
      <w:pPr>
        <w:pStyle w:val="Sinespaciado"/>
        <w:ind w:left="1701"/>
        <w:rPr>
          <w:rFonts w:ascii="Century Gothic" w:hAnsi="Century Gothic" w:cs="Times New Roman"/>
          <w:sz w:val="22"/>
        </w:rPr>
      </w:pPr>
    </w:p>
    <w:p w14:paraId="3760E78D" w14:textId="77777777" w:rsidR="00707BA5" w:rsidRPr="006858F7" w:rsidRDefault="00B86A5F" w:rsidP="00B86A5F">
      <w:pPr>
        <w:rPr>
          <w:rFonts w:ascii="Century Gothic" w:hAnsi="Century Gothic" w:cs="Times New Roman"/>
          <w:sz w:val="22"/>
        </w:rPr>
      </w:pPr>
      <w:r w:rsidRPr="006858F7">
        <w:rPr>
          <w:rFonts w:ascii="Century Gothic" w:hAnsi="Century Gothic" w:cs="Times New Roman"/>
          <w:sz w:val="22"/>
        </w:rPr>
        <w:t xml:space="preserve">Respetado Señor Presidente, </w:t>
      </w:r>
    </w:p>
    <w:p w14:paraId="76381397" w14:textId="46C82548" w:rsidR="00B86A5F" w:rsidRPr="00355B08" w:rsidRDefault="00B86A5F" w:rsidP="00355B08">
      <w:pPr>
        <w:rPr>
          <w:rFonts w:ascii="Century Gothic" w:hAnsi="Century Gothic" w:cs="Times New Roman"/>
          <w:sz w:val="22"/>
        </w:rPr>
      </w:pPr>
      <w:r w:rsidRPr="006858F7">
        <w:rPr>
          <w:rFonts w:ascii="Century Gothic" w:hAnsi="Century Gothic" w:cs="Times New Roman"/>
          <w:sz w:val="22"/>
        </w:rPr>
        <w:t xml:space="preserve">En cumplimiento del encargo encomendado por la Mesa Directiva de la </w:t>
      </w:r>
      <w:r w:rsidR="00065B5C" w:rsidRPr="006858F7">
        <w:rPr>
          <w:rFonts w:ascii="Century Gothic" w:hAnsi="Century Gothic" w:cs="Times New Roman"/>
          <w:sz w:val="22"/>
        </w:rPr>
        <w:t xml:space="preserve">Comisión Primera de la </w:t>
      </w:r>
      <w:r w:rsidRPr="006858F7">
        <w:rPr>
          <w:rFonts w:ascii="Century Gothic" w:hAnsi="Century Gothic" w:cs="Times New Roman"/>
          <w:sz w:val="22"/>
        </w:rPr>
        <w:t xml:space="preserve">Cámara de Representantes y de lo dispuesto por la Ley 5 de 1992, me permito rendir informe de ponencia del Proyecto de Ley número </w:t>
      </w:r>
      <w:r w:rsidR="00AA7EC5" w:rsidRPr="006858F7">
        <w:rPr>
          <w:rFonts w:ascii="Century Gothic" w:hAnsi="Century Gothic" w:cs="Times New Roman"/>
          <w:sz w:val="22"/>
        </w:rPr>
        <w:t xml:space="preserve">201 de 2018 Cámara/ </w:t>
      </w:r>
      <w:r w:rsidRPr="006858F7">
        <w:rPr>
          <w:rFonts w:ascii="Century Gothic" w:hAnsi="Century Gothic" w:cs="Times New Roman"/>
          <w:sz w:val="22"/>
        </w:rPr>
        <w:t xml:space="preserve">139 de 2017 Senado, para su </w:t>
      </w:r>
      <w:r w:rsidR="00707BA5" w:rsidRPr="006858F7">
        <w:rPr>
          <w:rFonts w:ascii="Century Gothic" w:hAnsi="Century Gothic" w:cs="Times New Roman"/>
          <w:sz w:val="22"/>
        </w:rPr>
        <w:t>S</w:t>
      </w:r>
      <w:r w:rsidR="00065B5C" w:rsidRPr="006858F7">
        <w:rPr>
          <w:rFonts w:ascii="Century Gothic" w:hAnsi="Century Gothic" w:cs="Times New Roman"/>
          <w:sz w:val="22"/>
        </w:rPr>
        <w:t>egundo</w:t>
      </w:r>
      <w:r w:rsidRPr="006858F7">
        <w:rPr>
          <w:rFonts w:ascii="Century Gothic" w:hAnsi="Century Gothic" w:cs="Times New Roman"/>
          <w:sz w:val="22"/>
        </w:rPr>
        <w:t xml:space="preserve"> debate en la </w:t>
      </w:r>
      <w:r w:rsidR="00B47115" w:rsidRPr="006858F7">
        <w:rPr>
          <w:rFonts w:ascii="Century Gothic" w:hAnsi="Century Gothic" w:cs="Times New Roman"/>
          <w:sz w:val="22"/>
        </w:rPr>
        <w:t>Plenaria</w:t>
      </w:r>
      <w:r w:rsidRPr="006858F7">
        <w:rPr>
          <w:rFonts w:ascii="Century Gothic" w:hAnsi="Century Gothic" w:cs="Times New Roman"/>
          <w:sz w:val="22"/>
        </w:rPr>
        <w:t xml:space="preserve"> de la Honorable Cámara de Representantes, de conformidad con las consideraciones que se exponen a continuación.</w:t>
      </w:r>
    </w:p>
    <w:p w14:paraId="60547746" w14:textId="77777777" w:rsidR="00B86A5F" w:rsidRPr="006858F7" w:rsidRDefault="00B86A5F" w:rsidP="00B86A5F">
      <w:pPr>
        <w:pStyle w:val="Ttulo1"/>
        <w:numPr>
          <w:ilvl w:val="0"/>
          <w:numId w:val="1"/>
        </w:numPr>
        <w:rPr>
          <w:rFonts w:ascii="Century Gothic" w:hAnsi="Century Gothic" w:cs="Times New Roman"/>
          <w:sz w:val="22"/>
        </w:rPr>
      </w:pPr>
      <w:bookmarkStart w:id="1" w:name="_Toc522628845"/>
      <w:bookmarkStart w:id="2" w:name="_Toc527019560"/>
      <w:r w:rsidRPr="006858F7">
        <w:rPr>
          <w:rFonts w:ascii="Century Gothic" w:hAnsi="Century Gothic" w:cs="Times New Roman"/>
          <w:sz w:val="22"/>
        </w:rPr>
        <w:t>ANTECEDENTES DEL PROYECTO DE LEY</w:t>
      </w:r>
      <w:bookmarkEnd w:id="1"/>
      <w:bookmarkEnd w:id="2"/>
    </w:p>
    <w:p w14:paraId="2370962B" w14:textId="77777777" w:rsidR="00065B5C" w:rsidRPr="006858F7" w:rsidRDefault="00D43477" w:rsidP="00B86A5F">
      <w:pPr>
        <w:rPr>
          <w:rFonts w:ascii="Century Gothic" w:hAnsi="Century Gothic" w:cs="Times New Roman"/>
          <w:sz w:val="22"/>
        </w:rPr>
      </w:pPr>
      <w:r w:rsidRPr="006858F7">
        <w:rPr>
          <w:rFonts w:ascii="Century Gothic" w:hAnsi="Century Gothic" w:cs="Times New Roman"/>
          <w:sz w:val="22"/>
        </w:rPr>
        <w:t xml:space="preserve">El </w:t>
      </w:r>
      <w:r w:rsidR="00B118D6" w:rsidRPr="006858F7">
        <w:rPr>
          <w:rFonts w:ascii="Century Gothic" w:hAnsi="Century Gothic" w:cs="Times New Roman"/>
          <w:sz w:val="22"/>
        </w:rPr>
        <w:t xml:space="preserve">Proyecto de Ley </w:t>
      </w:r>
      <w:r w:rsidR="00AA7EC5" w:rsidRPr="006858F7">
        <w:rPr>
          <w:rFonts w:ascii="Century Gothic" w:hAnsi="Century Gothic" w:cs="Times New Roman"/>
          <w:sz w:val="22"/>
        </w:rPr>
        <w:t xml:space="preserve">201 de 2018 Cámara/ </w:t>
      </w:r>
      <w:r w:rsidR="00B118D6" w:rsidRPr="006858F7">
        <w:rPr>
          <w:rFonts w:ascii="Century Gothic" w:hAnsi="Century Gothic" w:cs="Times New Roman"/>
          <w:sz w:val="22"/>
        </w:rPr>
        <w:t>139 de 2017</w:t>
      </w:r>
      <w:r w:rsidR="00AA7EC5" w:rsidRPr="006858F7">
        <w:rPr>
          <w:rFonts w:ascii="Century Gothic" w:hAnsi="Century Gothic" w:cs="Times New Roman"/>
          <w:sz w:val="22"/>
        </w:rPr>
        <w:t xml:space="preserve"> Senado</w:t>
      </w:r>
      <w:r w:rsidR="009A690F" w:rsidRPr="006858F7">
        <w:rPr>
          <w:rFonts w:ascii="Century Gothic" w:hAnsi="Century Gothic" w:cs="Times New Roman"/>
          <w:sz w:val="22"/>
        </w:rPr>
        <w:t xml:space="preserve"> </w:t>
      </w:r>
      <w:r w:rsidRPr="006858F7">
        <w:rPr>
          <w:rFonts w:ascii="Century Gothic" w:hAnsi="Century Gothic" w:cs="Times New Roman"/>
          <w:sz w:val="22"/>
        </w:rPr>
        <w:t xml:space="preserve">“por medio de la cual se modifican y adicionan artículos de la Ley 599 de 2000 y la Ley 906 de 2004 en relación con el delito de violencia intrafamiliar” </w:t>
      </w:r>
      <w:r w:rsidR="009555E7" w:rsidRPr="006858F7">
        <w:rPr>
          <w:rFonts w:ascii="Century Gothic" w:hAnsi="Century Gothic" w:cs="Times New Roman"/>
          <w:sz w:val="22"/>
        </w:rPr>
        <w:t xml:space="preserve">fue radicado el pasado 2 de octubre de 2017, en la </w:t>
      </w:r>
      <w:r w:rsidR="0063011F" w:rsidRPr="006858F7">
        <w:rPr>
          <w:rFonts w:ascii="Century Gothic" w:hAnsi="Century Gothic" w:cs="Times New Roman"/>
          <w:sz w:val="22"/>
        </w:rPr>
        <w:t>Secretarí</w:t>
      </w:r>
      <w:r w:rsidR="004178E5" w:rsidRPr="006858F7">
        <w:rPr>
          <w:rFonts w:ascii="Century Gothic" w:hAnsi="Century Gothic" w:cs="Times New Roman"/>
          <w:sz w:val="22"/>
        </w:rPr>
        <w:t xml:space="preserve">a del Senado de la República </w:t>
      </w:r>
      <w:r w:rsidR="009555E7" w:rsidRPr="006858F7">
        <w:rPr>
          <w:rFonts w:ascii="Century Gothic" w:hAnsi="Century Gothic" w:cs="Times New Roman"/>
          <w:sz w:val="22"/>
        </w:rPr>
        <w:t xml:space="preserve">y publicado </w:t>
      </w:r>
      <w:r w:rsidR="00C05616" w:rsidRPr="006858F7">
        <w:rPr>
          <w:rFonts w:ascii="Century Gothic" w:hAnsi="Century Gothic" w:cs="Times New Roman"/>
          <w:sz w:val="22"/>
        </w:rPr>
        <w:t>en</w:t>
      </w:r>
      <w:r w:rsidR="004178E5" w:rsidRPr="006858F7">
        <w:rPr>
          <w:rFonts w:ascii="Century Gothic" w:hAnsi="Century Gothic" w:cs="Times New Roman"/>
          <w:sz w:val="22"/>
        </w:rPr>
        <w:t xml:space="preserve"> la Gaceta del Congreso número 879 de 2017</w:t>
      </w:r>
      <w:r w:rsidR="00145934" w:rsidRPr="006858F7">
        <w:rPr>
          <w:rFonts w:ascii="Century Gothic" w:hAnsi="Century Gothic" w:cs="Times New Roman"/>
          <w:sz w:val="22"/>
        </w:rPr>
        <w:t xml:space="preserve">. </w:t>
      </w:r>
      <w:r w:rsidR="00C70506" w:rsidRPr="006858F7">
        <w:rPr>
          <w:rFonts w:ascii="Century Gothic" w:hAnsi="Century Gothic" w:cs="Times New Roman"/>
          <w:sz w:val="22"/>
        </w:rPr>
        <w:t xml:space="preserve">La iniciativa fue debatida por primera vez en la Comisión Primera Constitucional del Senado de la República el 6 de junio de 2018, en los términos del </w:t>
      </w:r>
      <w:r w:rsidR="00EE0C8C" w:rsidRPr="006858F7">
        <w:rPr>
          <w:rFonts w:ascii="Century Gothic" w:hAnsi="Century Gothic" w:cs="Times New Roman"/>
          <w:sz w:val="22"/>
        </w:rPr>
        <w:t xml:space="preserve">informe de ponencia publicado en la Gaceta </w:t>
      </w:r>
      <w:r w:rsidR="00C70506" w:rsidRPr="006858F7">
        <w:rPr>
          <w:rFonts w:ascii="Century Gothic" w:hAnsi="Century Gothic" w:cs="Times New Roman"/>
          <w:sz w:val="22"/>
        </w:rPr>
        <w:t xml:space="preserve">190 de 2018. </w:t>
      </w:r>
      <w:r w:rsidR="00AC1ABE" w:rsidRPr="006858F7">
        <w:rPr>
          <w:rFonts w:ascii="Century Gothic" w:hAnsi="Century Gothic" w:cs="Times New Roman"/>
          <w:sz w:val="22"/>
        </w:rPr>
        <w:t xml:space="preserve">Aprobado el texto del proyecto en primer debate, </w:t>
      </w:r>
      <w:r w:rsidR="00C32F57" w:rsidRPr="006858F7">
        <w:rPr>
          <w:rFonts w:ascii="Century Gothic" w:hAnsi="Century Gothic" w:cs="Times New Roman"/>
          <w:sz w:val="22"/>
        </w:rPr>
        <w:t xml:space="preserve">fue publicado el informe de ponencia para segundo debate en la Gaceta 407 de 12 de junio de 2018, </w:t>
      </w:r>
      <w:r w:rsidR="00B45E73" w:rsidRPr="006858F7">
        <w:rPr>
          <w:rFonts w:ascii="Century Gothic" w:hAnsi="Century Gothic" w:cs="Times New Roman"/>
          <w:sz w:val="22"/>
        </w:rPr>
        <w:t xml:space="preserve">el </w:t>
      </w:r>
      <w:r w:rsidR="00B45E73" w:rsidRPr="006858F7">
        <w:rPr>
          <w:rFonts w:ascii="Century Gothic" w:hAnsi="Century Gothic" w:cs="Times New Roman"/>
          <w:sz w:val="22"/>
        </w:rPr>
        <w:lastRenderedPageBreak/>
        <w:t>cual</w:t>
      </w:r>
      <w:r w:rsidR="00417498" w:rsidRPr="006858F7">
        <w:rPr>
          <w:rFonts w:ascii="Century Gothic" w:hAnsi="Century Gothic" w:cs="Times New Roman"/>
          <w:sz w:val="22"/>
        </w:rPr>
        <w:t xml:space="preserve"> se </w:t>
      </w:r>
      <w:r w:rsidR="00EC3B0A" w:rsidRPr="006858F7">
        <w:rPr>
          <w:rFonts w:ascii="Century Gothic" w:hAnsi="Century Gothic" w:cs="Times New Roman"/>
          <w:sz w:val="22"/>
        </w:rPr>
        <w:t>llevó</w:t>
      </w:r>
      <w:r w:rsidR="00417498" w:rsidRPr="006858F7">
        <w:rPr>
          <w:rFonts w:ascii="Century Gothic" w:hAnsi="Century Gothic" w:cs="Times New Roman"/>
          <w:sz w:val="22"/>
        </w:rPr>
        <w:t xml:space="preserve"> a cabo el 25 de septiembre de ese mismo año. </w:t>
      </w:r>
      <w:r w:rsidR="00EC3B0A" w:rsidRPr="006858F7">
        <w:rPr>
          <w:rFonts w:ascii="Century Gothic" w:hAnsi="Century Gothic" w:cs="Times New Roman"/>
          <w:sz w:val="22"/>
        </w:rPr>
        <w:t xml:space="preserve">El texto aprobado por la plenaria del Senado de la República fue publicado en la Gaceta del Congreso número 782 de 2018. </w:t>
      </w:r>
    </w:p>
    <w:p w14:paraId="313DAC04" w14:textId="01378A85" w:rsidR="004934EC" w:rsidRPr="006858F7" w:rsidRDefault="00A43365" w:rsidP="00B86A5F">
      <w:pPr>
        <w:rPr>
          <w:rFonts w:ascii="Century Gothic" w:hAnsi="Century Gothic" w:cs="Times New Roman"/>
          <w:sz w:val="22"/>
        </w:rPr>
      </w:pPr>
      <w:r w:rsidRPr="006858F7">
        <w:rPr>
          <w:rFonts w:ascii="Century Gothic" w:hAnsi="Century Gothic" w:cs="Times New Roman"/>
          <w:sz w:val="22"/>
        </w:rPr>
        <w:t>La iniciativa fue radicada en la Secretar</w:t>
      </w:r>
      <w:r w:rsidR="0063011F" w:rsidRPr="006858F7">
        <w:rPr>
          <w:rFonts w:ascii="Century Gothic" w:hAnsi="Century Gothic" w:cs="Times New Roman"/>
          <w:sz w:val="22"/>
        </w:rPr>
        <w:t>í</w:t>
      </w:r>
      <w:r w:rsidRPr="006858F7">
        <w:rPr>
          <w:rFonts w:ascii="Century Gothic" w:hAnsi="Century Gothic" w:cs="Times New Roman"/>
          <w:sz w:val="22"/>
        </w:rPr>
        <w:t xml:space="preserve">a de la Cámara de Representantes el 11 de octubre de 2018, y su ponencia para </w:t>
      </w:r>
      <w:r w:rsidR="00065B5C" w:rsidRPr="006858F7">
        <w:rPr>
          <w:rFonts w:ascii="Century Gothic" w:hAnsi="Century Gothic" w:cs="Times New Roman"/>
          <w:sz w:val="22"/>
        </w:rPr>
        <w:t xml:space="preserve">primer </w:t>
      </w:r>
      <w:r w:rsidRPr="006858F7">
        <w:rPr>
          <w:rFonts w:ascii="Century Gothic" w:hAnsi="Century Gothic" w:cs="Times New Roman"/>
          <w:sz w:val="22"/>
        </w:rPr>
        <w:t xml:space="preserve">debate </w:t>
      </w:r>
      <w:r w:rsidR="00065B5C" w:rsidRPr="006858F7">
        <w:rPr>
          <w:rFonts w:ascii="Century Gothic" w:hAnsi="Century Gothic" w:cs="Times New Roman"/>
          <w:sz w:val="22"/>
        </w:rPr>
        <w:t xml:space="preserve">en Cámara </w:t>
      </w:r>
      <w:r w:rsidRPr="006858F7">
        <w:rPr>
          <w:rFonts w:ascii="Century Gothic" w:hAnsi="Century Gothic" w:cs="Times New Roman"/>
          <w:sz w:val="22"/>
        </w:rPr>
        <w:t>fue radicada el 6 de noviembre de 2018.</w:t>
      </w:r>
      <w:r w:rsidR="00065B5C" w:rsidRPr="006858F7">
        <w:rPr>
          <w:rFonts w:ascii="Century Gothic" w:hAnsi="Century Gothic" w:cs="Times New Roman"/>
          <w:sz w:val="22"/>
        </w:rPr>
        <w:t xml:space="preserve"> En consecuencia, el proyecto fue debatido</w:t>
      </w:r>
      <w:r w:rsidR="00056AED" w:rsidRPr="006858F7">
        <w:rPr>
          <w:rFonts w:ascii="Century Gothic" w:hAnsi="Century Gothic" w:cs="Times New Roman"/>
          <w:sz w:val="22"/>
        </w:rPr>
        <w:t xml:space="preserve"> </w:t>
      </w:r>
      <w:r w:rsidR="00065B5C" w:rsidRPr="006858F7">
        <w:rPr>
          <w:rFonts w:ascii="Century Gothic" w:hAnsi="Century Gothic" w:cs="Times New Roman"/>
          <w:sz w:val="22"/>
        </w:rPr>
        <w:t>en</w:t>
      </w:r>
      <w:r w:rsidR="00056AED" w:rsidRPr="006858F7">
        <w:rPr>
          <w:rFonts w:ascii="Century Gothic" w:hAnsi="Century Gothic" w:cs="Times New Roman"/>
          <w:sz w:val="22"/>
        </w:rPr>
        <w:t xml:space="preserve"> la Comisión Primera de la Cámara de Representantes el 4 de diciembre de 2018</w:t>
      </w:r>
      <w:r w:rsidR="00E2419F" w:rsidRPr="006858F7">
        <w:rPr>
          <w:rFonts w:ascii="Century Gothic" w:hAnsi="Century Gothic" w:cs="Times New Roman"/>
          <w:sz w:val="22"/>
        </w:rPr>
        <w:t xml:space="preserve">. </w:t>
      </w:r>
      <w:r w:rsidR="00ED5B91" w:rsidRPr="006858F7">
        <w:rPr>
          <w:rFonts w:ascii="Century Gothic" w:hAnsi="Century Gothic" w:cs="Times New Roman"/>
          <w:sz w:val="22"/>
        </w:rPr>
        <w:t xml:space="preserve">La discusión </w:t>
      </w:r>
      <w:r w:rsidR="0051069A" w:rsidRPr="006858F7">
        <w:rPr>
          <w:rFonts w:ascii="Century Gothic" w:hAnsi="Century Gothic" w:cs="Times New Roman"/>
          <w:sz w:val="22"/>
        </w:rPr>
        <w:t>giró en torno a do</w:t>
      </w:r>
      <w:r w:rsidR="00ED5B91" w:rsidRPr="006858F7">
        <w:rPr>
          <w:rFonts w:ascii="Century Gothic" w:hAnsi="Century Gothic" w:cs="Times New Roman"/>
          <w:sz w:val="22"/>
        </w:rPr>
        <w:t xml:space="preserve">s aspectos principales: (i) la necesidad de presentar nuevas iniciativas con enfoque de política pública que permitan proteger los derechos de las mujeres </w:t>
      </w:r>
      <w:r w:rsidR="00803174" w:rsidRPr="006858F7">
        <w:rPr>
          <w:rFonts w:ascii="Century Gothic" w:hAnsi="Century Gothic" w:cs="Times New Roman"/>
          <w:sz w:val="22"/>
        </w:rPr>
        <w:t>de manera integral y no solo desde la perspec</w:t>
      </w:r>
      <w:r w:rsidR="00443203" w:rsidRPr="006858F7">
        <w:rPr>
          <w:rFonts w:ascii="Century Gothic" w:hAnsi="Century Gothic" w:cs="Times New Roman"/>
          <w:sz w:val="22"/>
        </w:rPr>
        <w:t>tiva judicial,</w:t>
      </w:r>
      <w:r w:rsidR="0051069A" w:rsidRPr="006858F7">
        <w:rPr>
          <w:rFonts w:ascii="Century Gothic" w:hAnsi="Century Gothic" w:cs="Times New Roman"/>
          <w:sz w:val="22"/>
        </w:rPr>
        <w:t xml:space="preserve"> y</w:t>
      </w:r>
      <w:r w:rsidR="00443203" w:rsidRPr="006858F7">
        <w:rPr>
          <w:rFonts w:ascii="Century Gothic" w:hAnsi="Century Gothic" w:cs="Times New Roman"/>
          <w:sz w:val="22"/>
        </w:rPr>
        <w:t xml:space="preserve"> (ii) </w:t>
      </w:r>
      <w:r w:rsidR="0051069A" w:rsidRPr="006858F7">
        <w:rPr>
          <w:rFonts w:ascii="Century Gothic" w:hAnsi="Century Gothic" w:cs="Times New Roman"/>
          <w:sz w:val="22"/>
        </w:rPr>
        <w:t xml:space="preserve">la inclusión de todos los supuestos de hecho en los que </w:t>
      </w:r>
      <w:r w:rsidR="00BB5EC8" w:rsidRPr="006858F7">
        <w:rPr>
          <w:rFonts w:ascii="Century Gothic" w:hAnsi="Century Gothic" w:cs="Times New Roman"/>
          <w:sz w:val="22"/>
        </w:rPr>
        <w:t xml:space="preserve">se configuran escenarios de violencia al interior de las familias. </w:t>
      </w:r>
      <w:r w:rsidR="00E44D93" w:rsidRPr="006858F7">
        <w:rPr>
          <w:rFonts w:ascii="Century Gothic" w:hAnsi="Century Gothic" w:cs="Times New Roman"/>
          <w:sz w:val="22"/>
        </w:rPr>
        <w:t>Durante la discusión fueron presentadas 3 proposiciones</w:t>
      </w:r>
      <w:r w:rsidR="004934EC" w:rsidRPr="006858F7">
        <w:rPr>
          <w:rFonts w:ascii="Century Gothic" w:hAnsi="Century Gothic" w:cs="Times New Roman"/>
          <w:sz w:val="22"/>
        </w:rPr>
        <w:t xml:space="preserve"> que se dejaron como constancia. El proyecto fue aprobado por unanimidad </w:t>
      </w:r>
      <w:r w:rsidR="0063011F" w:rsidRPr="006858F7">
        <w:rPr>
          <w:rFonts w:ascii="Century Gothic" w:hAnsi="Century Gothic" w:cs="Times New Roman"/>
          <w:sz w:val="22"/>
        </w:rPr>
        <w:t xml:space="preserve">en </w:t>
      </w:r>
      <w:r w:rsidR="004934EC" w:rsidRPr="006858F7">
        <w:rPr>
          <w:rFonts w:ascii="Century Gothic" w:hAnsi="Century Gothic" w:cs="Times New Roman"/>
          <w:sz w:val="22"/>
        </w:rPr>
        <w:t>su primer debate en Cámara de Representantes.</w:t>
      </w:r>
    </w:p>
    <w:p w14:paraId="25FCD85E" w14:textId="77777777" w:rsidR="00056AED" w:rsidRPr="006858F7" w:rsidRDefault="004934EC" w:rsidP="00B86A5F">
      <w:pPr>
        <w:rPr>
          <w:rFonts w:ascii="Century Gothic" w:hAnsi="Century Gothic" w:cs="Times New Roman"/>
          <w:sz w:val="22"/>
        </w:rPr>
      </w:pPr>
      <w:r w:rsidRPr="006858F7">
        <w:rPr>
          <w:rFonts w:ascii="Century Gothic" w:hAnsi="Century Gothic" w:cs="Times New Roman"/>
          <w:sz w:val="22"/>
        </w:rPr>
        <w:t xml:space="preserve">Las proposiciones radicadas como constancia </w:t>
      </w:r>
      <w:r w:rsidR="007A0412" w:rsidRPr="006858F7">
        <w:rPr>
          <w:rFonts w:ascii="Century Gothic" w:hAnsi="Century Gothic" w:cs="Times New Roman"/>
          <w:sz w:val="22"/>
        </w:rPr>
        <w:t>en el primer debat</w:t>
      </w:r>
      <w:r w:rsidR="00DD5381" w:rsidRPr="006858F7">
        <w:rPr>
          <w:rFonts w:ascii="Century Gothic" w:hAnsi="Century Gothic" w:cs="Times New Roman"/>
          <w:sz w:val="22"/>
        </w:rPr>
        <w:t xml:space="preserve">e de Cámara, fueron tenidas en cuenta para la presentación de esta ponencia. Las que se consideraron pertinentes y coherentes con la iniciativa fueron incluidas en el pliego de modificaciones propuesto. </w:t>
      </w:r>
    </w:p>
    <w:p w14:paraId="7005497D" w14:textId="77777777" w:rsidR="0000768E" w:rsidRPr="006858F7" w:rsidRDefault="00B86A5F" w:rsidP="00B86A5F">
      <w:pPr>
        <w:pStyle w:val="Ttulo1"/>
        <w:numPr>
          <w:ilvl w:val="0"/>
          <w:numId w:val="1"/>
        </w:numPr>
        <w:rPr>
          <w:rFonts w:ascii="Century Gothic" w:hAnsi="Century Gothic" w:cs="Times New Roman"/>
          <w:sz w:val="22"/>
        </w:rPr>
      </w:pPr>
      <w:r w:rsidRPr="006858F7">
        <w:rPr>
          <w:rFonts w:ascii="Century Gothic" w:hAnsi="Century Gothic" w:cs="Times New Roman"/>
          <w:sz w:val="22"/>
        </w:rPr>
        <w:t xml:space="preserve">OBJETO DEL PROYECTO DE LEY </w:t>
      </w:r>
    </w:p>
    <w:p w14:paraId="15E13B38" w14:textId="77777777" w:rsidR="0000768E" w:rsidRPr="006858F7" w:rsidRDefault="0000768E" w:rsidP="00B86A5F">
      <w:pPr>
        <w:pStyle w:val="Sinespaciado"/>
        <w:rPr>
          <w:rFonts w:ascii="Century Gothic" w:hAnsi="Century Gothic" w:cs="Times New Roman"/>
          <w:sz w:val="22"/>
        </w:rPr>
      </w:pPr>
      <w:r w:rsidRPr="006858F7">
        <w:rPr>
          <w:rFonts w:ascii="Century Gothic" w:hAnsi="Century Gothic" w:cs="Times New Roman"/>
          <w:sz w:val="22"/>
        </w:rPr>
        <w:t>E</w:t>
      </w:r>
      <w:r w:rsidR="00B86A5F" w:rsidRPr="006858F7">
        <w:rPr>
          <w:rFonts w:ascii="Century Gothic" w:hAnsi="Century Gothic" w:cs="Times New Roman"/>
          <w:sz w:val="22"/>
        </w:rPr>
        <w:t xml:space="preserve">l Proyecto de Ley </w:t>
      </w:r>
      <w:r w:rsidRPr="006858F7">
        <w:rPr>
          <w:rFonts w:ascii="Century Gothic" w:hAnsi="Century Gothic" w:cs="Times New Roman"/>
          <w:sz w:val="22"/>
        </w:rPr>
        <w:t xml:space="preserve">201 de 2018/ </w:t>
      </w:r>
      <w:r w:rsidR="00B86A5F" w:rsidRPr="006858F7">
        <w:rPr>
          <w:rFonts w:ascii="Century Gothic" w:hAnsi="Century Gothic" w:cs="Times New Roman"/>
          <w:sz w:val="22"/>
        </w:rPr>
        <w:t xml:space="preserve">139 de 2017 “por medio de la cual se modifican y adicionan artículos de la Ley 599 de 2000 y la Ley 906 de 2004 en relación con el delito de violencia intrafamiliar”, </w:t>
      </w:r>
      <w:r w:rsidR="00A4463C" w:rsidRPr="006858F7">
        <w:rPr>
          <w:rFonts w:ascii="Century Gothic" w:hAnsi="Century Gothic" w:cs="Times New Roman"/>
          <w:sz w:val="22"/>
        </w:rPr>
        <w:t>precisa el tipo pe</w:t>
      </w:r>
      <w:r w:rsidR="00520A1C" w:rsidRPr="006858F7">
        <w:rPr>
          <w:rFonts w:ascii="Century Gothic" w:hAnsi="Century Gothic" w:cs="Times New Roman"/>
          <w:sz w:val="22"/>
        </w:rPr>
        <w:t xml:space="preserve">nal de violencia intrafamiliar y modifica el </w:t>
      </w:r>
      <w:r w:rsidR="00F53A9D" w:rsidRPr="006858F7">
        <w:rPr>
          <w:rFonts w:ascii="Century Gothic" w:hAnsi="Century Gothic" w:cs="Times New Roman"/>
          <w:sz w:val="22"/>
        </w:rPr>
        <w:t>régimen procesal penal para lograr mejores resultados en las investigaciones adelantadas por el delito de violencia intrafamiliar</w:t>
      </w:r>
      <w:r w:rsidR="00634CEF" w:rsidRPr="006858F7">
        <w:rPr>
          <w:rFonts w:ascii="Century Gothic" w:hAnsi="Century Gothic" w:cs="Times New Roman"/>
          <w:sz w:val="22"/>
        </w:rPr>
        <w:t xml:space="preserve">, sin </w:t>
      </w:r>
      <w:r w:rsidR="009D35CE" w:rsidRPr="006858F7">
        <w:rPr>
          <w:rFonts w:ascii="Century Gothic" w:hAnsi="Century Gothic" w:cs="Times New Roman"/>
          <w:sz w:val="22"/>
        </w:rPr>
        <w:t xml:space="preserve">someter a las víctimas a nuevos </w:t>
      </w:r>
      <w:r w:rsidR="005C2C1A" w:rsidRPr="006858F7">
        <w:rPr>
          <w:rFonts w:ascii="Century Gothic" w:hAnsi="Century Gothic" w:cs="Times New Roman"/>
          <w:sz w:val="22"/>
        </w:rPr>
        <w:t>eventos traumáticos dentro del proceso penal</w:t>
      </w:r>
      <w:r w:rsidR="00F46471" w:rsidRPr="006858F7">
        <w:rPr>
          <w:rStyle w:val="Refdenotaalpie"/>
          <w:rFonts w:ascii="Century Gothic" w:hAnsi="Century Gothic" w:cs="Times New Roman"/>
          <w:sz w:val="22"/>
        </w:rPr>
        <w:footnoteReference w:id="1"/>
      </w:r>
      <w:r w:rsidR="005C2C1A" w:rsidRPr="006858F7">
        <w:rPr>
          <w:rFonts w:ascii="Century Gothic" w:hAnsi="Century Gothic" w:cs="Times New Roman"/>
          <w:sz w:val="22"/>
        </w:rPr>
        <w:t xml:space="preserve">. </w:t>
      </w:r>
      <w:r w:rsidR="00634CEF" w:rsidRPr="006858F7">
        <w:rPr>
          <w:rFonts w:ascii="Century Gothic" w:hAnsi="Century Gothic" w:cs="Times New Roman"/>
          <w:sz w:val="22"/>
        </w:rPr>
        <w:t xml:space="preserve"> </w:t>
      </w:r>
    </w:p>
    <w:p w14:paraId="7CA9A217" w14:textId="77777777" w:rsidR="00B86A5F" w:rsidRPr="006858F7" w:rsidRDefault="00B86A5F" w:rsidP="00B86A5F">
      <w:pPr>
        <w:pStyle w:val="Ttulo1"/>
        <w:numPr>
          <w:ilvl w:val="0"/>
          <w:numId w:val="1"/>
        </w:numPr>
        <w:rPr>
          <w:rFonts w:ascii="Century Gothic" w:hAnsi="Century Gothic" w:cs="Times New Roman"/>
          <w:sz w:val="22"/>
        </w:rPr>
      </w:pPr>
      <w:r w:rsidRPr="006858F7">
        <w:rPr>
          <w:rFonts w:ascii="Century Gothic" w:hAnsi="Century Gothic" w:cs="Times New Roman"/>
          <w:sz w:val="22"/>
        </w:rPr>
        <w:t>CONSIDERACIONES GENERALES SOBRE LA INICIATIVA</w:t>
      </w:r>
    </w:p>
    <w:p w14:paraId="12BC48E4" w14:textId="77777777" w:rsidR="008B220D" w:rsidRPr="006858F7" w:rsidRDefault="008B220D" w:rsidP="00F8685B">
      <w:pPr>
        <w:pStyle w:val="Ttulo2"/>
        <w:rPr>
          <w:rFonts w:ascii="Century Gothic" w:hAnsi="Century Gothic" w:cs="Times New Roman"/>
          <w:b/>
          <w:color w:val="auto"/>
          <w:sz w:val="22"/>
          <w:szCs w:val="22"/>
        </w:rPr>
      </w:pPr>
      <w:r w:rsidRPr="006858F7">
        <w:rPr>
          <w:rFonts w:ascii="Century Gothic" w:hAnsi="Century Gothic" w:cs="Times New Roman"/>
          <w:b/>
          <w:color w:val="auto"/>
          <w:sz w:val="22"/>
          <w:szCs w:val="22"/>
        </w:rPr>
        <w:t>3.1. El fenómeno de la violencia intrafamiliar</w:t>
      </w:r>
    </w:p>
    <w:p w14:paraId="5C45021B" w14:textId="04671259"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La violencia intrafamiliar es uno de los fenómenos delictivos más importantes en Colombia. El número de casos investigados por esta conducta desde 2010 ha tenido un aumento constante</w:t>
      </w:r>
      <w:r w:rsidRPr="006858F7">
        <w:rPr>
          <w:rStyle w:val="Refdenotaalpie"/>
          <w:rFonts w:ascii="Century Gothic" w:hAnsi="Century Gothic" w:cs="Times New Roman"/>
          <w:sz w:val="22"/>
        </w:rPr>
        <w:footnoteReference w:id="2"/>
      </w:r>
      <w:r w:rsidRPr="006858F7">
        <w:rPr>
          <w:rFonts w:ascii="Century Gothic" w:hAnsi="Century Gothic" w:cs="Times New Roman"/>
          <w:sz w:val="22"/>
        </w:rPr>
        <w:t xml:space="preserve">. </w:t>
      </w:r>
      <w:r w:rsidR="0063011F" w:rsidRPr="006858F7">
        <w:rPr>
          <w:rFonts w:ascii="Century Gothic" w:hAnsi="Century Gothic" w:cs="Times New Roman"/>
          <w:sz w:val="22"/>
        </w:rPr>
        <w:t>L</w:t>
      </w:r>
      <w:r w:rsidRPr="006858F7">
        <w:rPr>
          <w:rFonts w:ascii="Century Gothic" w:hAnsi="Century Gothic" w:cs="Times New Roman"/>
          <w:sz w:val="22"/>
        </w:rPr>
        <w:t xml:space="preserve">a Fiscalía General de la Nación, </w:t>
      </w:r>
      <w:r w:rsidR="0063011F" w:rsidRPr="006858F7">
        <w:rPr>
          <w:rFonts w:ascii="Century Gothic" w:hAnsi="Century Gothic" w:cs="Times New Roman"/>
          <w:sz w:val="22"/>
        </w:rPr>
        <w:t xml:space="preserve">desde 1º de enero a </w:t>
      </w:r>
      <w:r w:rsidRPr="006858F7">
        <w:rPr>
          <w:rFonts w:ascii="Century Gothic" w:hAnsi="Century Gothic" w:cs="Times New Roman"/>
          <w:sz w:val="22"/>
        </w:rPr>
        <w:t>1</w:t>
      </w:r>
      <w:r w:rsidR="00FE42C1" w:rsidRPr="006858F7">
        <w:rPr>
          <w:rFonts w:ascii="Century Gothic" w:hAnsi="Century Gothic" w:cs="Times New Roman"/>
          <w:sz w:val="22"/>
        </w:rPr>
        <w:t>0</w:t>
      </w:r>
      <w:r w:rsidRPr="006858F7">
        <w:rPr>
          <w:rFonts w:ascii="Century Gothic" w:hAnsi="Century Gothic" w:cs="Times New Roman"/>
          <w:sz w:val="22"/>
        </w:rPr>
        <w:t xml:space="preserve"> de </w:t>
      </w:r>
      <w:r w:rsidR="00FE42C1" w:rsidRPr="006858F7">
        <w:rPr>
          <w:rFonts w:ascii="Century Gothic" w:hAnsi="Century Gothic" w:cs="Times New Roman"/>
          <w:sz w:val="22"/>
        </w:rPr>
        <w:t>octu</w:t>
      </w:r>
      <w:r w:rsidRPr="006858F7">
        <w:rPr>
          <w:rFonts w:ascii="Century Gothic" w:hAnsi="Century Gothic" w:cs="Times New Roman"/>
          <w:sz w:val="22"/>
        </w:rPr>
        <w:t xml:space="preserve">bre de 2018, registró un total de </w:t>
      </w:r>
      <w:r w:rsidR="003F7EF2" w:rsidRPr="006858F7">
        <w:rPr>
          <w:rFonts w:ascii="Century Gothic" w:hAnsi="Century Gothic" w:cs="Times New Roman"/>
          <w:sz w:val="22"/>
        </w:rPr>
        <w:t xml:space="preserve">70.603 procesos por violencia intrafamiliar, de los cuales </w:t>
      </w:r>
      <w:r w:rsidRPr="006858F7">
        <w:rPr>
          <w:rFonts w:ascii="Century Gothic" w:hAnsi="Century Gothic" w:cs="Times New Roman"/>
          <w:sz w:val="22"/>
        </w:rPr>
        <w:t xml:space="preserve">56.570 casos </w:t>
      </w:r>
      <w:r w:rsidR="003F7EF2" w:rsidRPr="006858F7">
        <w:rPr>
          <w:rFonts w:ascii="Century Gothic" w:hAnsi="Century Gothic" w:cs="Times New Roman"/>
          <w:sz w:val="22"/>
        </w:rPr>
        <w:t xml:space="preserve">están </w:t>
      </w:r>
      <w:r w:rsidRPr="006858F7">
        <w:rPr>
          <w:rFonts w:ascii="Century Gothic" w:hAnsi="Century Gothic" w:cs="Times New Roman"/>
          <w:sz w:val="22"/>
        </w:rPr>
        <w:t>activos y 14.033 inactivos</w:t>
      </w:r>
      <w:r w:rsidRPr="006858F7">
        <w:rPr>
          <w:rStyle w:val="Refdenotaalpie"/>
          <w:rFonts w:ascii="Century Gothic" w:hAnsi="Century Gothic" w:cs="Times New Roman"/>
          <w:sz w:val="22"/>
        </w:rPr>
        <w:footnoteReference w:id="3"/>
      </w:r>
      <w:r w:rsidRPr="006858F7">
        <w:rPr>
          <w:rFonts w:ascii="Century Gothic" w:hAnsi="Century Gothic" w:cs="Times New Roman"/>
          <w:sz w:val="22"/>
        </w:rPr>
        <w:t xml:space="preserve">. La mayoría </w:t>
      </w:r>
      <w:r w:rsidRPr="006858F7">
        <w:rPr>
          <w:rFonts w:ascii="Century Gothic" w:hAnsi="Century Gothic" w:cs="Times New Roman"/>
          <w:sz w:val="22"/>
        </w:rPr>
        <w:lastRenderedPageBreak/>
        <w:t>de estas investigaciones están concentrad</w:t>
      </w:r>
      <w:r w:rsidR="003F7EF2" w:rsidRPr="006858F7">
        <w:rPr>
          <w:rFonts w:ascii="Century Gothic" w:hAnsi="Century Gothic" w:cs="Times New Roman"/>
          <w:sz w:val="22"/>
        </w:rPr>
        <w:t>a</w:t>
      </w:r>
      <w:r w:rsidRPr="006858F7">
        <w:rPr>
          <w:rFonts w:ascii="Century Gothic" w:hAnsi="Century Gothic" w:cs="Times New Roman"/>
          <w:sz w:val="22"/>
        </w:rPr>
        <w:t>s en Antioquia, Bogotá, Cundinamarca, Santander y Valle del Cauca</w:t>
      </w:r>
      <w:r w:rsidRPr="006858F7">
        <w:rPr>
          <w:rStyle w:val="Refdenotaalpie"/>
          <w:rFonts w:ascii="Century Gothic" w:hAnsi="Century Gothic" w:cs="Times New Roman"/>
          <w:sz w:val="22"/>
        </w:rPr>
        <w:footnoteReference w:id="4"/>
      </w:r>
      <w:r w:rsidRPr="006858F7">
        <w:rPr>
          <w:rFonts w:ascii="Century Gothic" w:hAnsi="Century Gothic" w:cs="Times New Roman"/>
          <w:sz w:val="22"/>
        </w:rPr>
        <w:t xml:space="preserve">. </w:t>
      </w:r>
    </w:p>
    <w:p w14:paraId="5E6EB740" w14:textId="77777777" w:rsidR="008B220D" w:rsidRPr="006858F7" w:rsidRDefault="008B220D" w:rsidP="008B220D">
      <w:pPr>
        <w:ind w:firstLine="1"/>
        <w:rPr>
          <w:rFonts w:ascii="Century Gothic" w:hAnsi="Century Gothic" w:cs="Times New Roman"/>
          <w:sz w:val="22"/>
        </w:rPr>
      </w:pPr>
      <w:r w:rsidRPr="006858F7">
        <w:rPr>
          <w:rFonts w:ascii="Century Gothic" w:hAnsi="Century Gothic" w:cs="Times New Roman"/>
          <w:sz w:val="22"/>
        </w:rPr>
        <w:t>A pesar de la importancia de este delito no son muchos los estudios dedicados a analizar las causas, consecuencias y formas de afrontar los distintos tipos de violencia ocurridos al interior de las familias en Colombia</w:t>
      </w:r>
      <w:r w:rsidRPr="006858F7">
        <w:rPr>
          <w:rStyle w:val="Refdenotaalpie"/>
          <w:rFonts w:ascii="Century Gothic" w:hAnsi="Century Gothic" w:cs="Times New Roman"/>
          <w:sz w:val="22"/>
        </w:rPr>
        <w:footnoteReference w:id="5"/>
      </w:r>
      <w:r w:rsidRPr="006858F7">
        <w:rPr>
          <w:rFonts w:ascii="Century Gothic" w:hAnsi="Century Gothic" w:cs="Times New Roman"/>
          <w:sz w:val="22"/>
        </w:rPr>
        <w:t>. Sin embargo, los estudios que existen hasta el momento advierten la necesidad de abordar la violencia intrafamiliar desde una perspectiva amplia que permita evidenciar su relación con la salud mental de las personas</w:t>
      </w:r>
      <w:r w:rsidRPr="006858F7">
        <w:rPr>
          <w:rStyle w:val="Refdenotaalpie"/>
          <w:rFonts w:ascii="Century Gothic" w:hAnsi="Century Gothic" w:cs="Times New Roman"/>
          <w:sz w:val="22"/>
        </w:rPr>
        <w:footnoteReference w:id="6"/>
      </w:r>
      <w:r w:rsidRPr="006858F7">
        <w:rPr>
          <w:rFonts w:ascii="Century Gothic" w:hAnsi="Century Gothic" w:cs="Times New Roman"/>
          <w:sz w:val="22"/>
        </w:rPr>
        <w:t>, con procesos históricos de discriminación en contra de poblaciones vulnerables</w:t>
      </w:r>
      <w:r w:rsidRPr="006858F7">
        <w:rPr>
          <w:rStyle w:val="Refdenotaalpie"/>
          <w:rFonts w:ascii="Century Gothic" w:hAnsi="Century Gothic" w:cs="Times New Roman"/>
          <w:sz w:val="22"/>
        </w:rPr>
        <w:footnoteReference w:id="7"/>
      </w:r>
      <w:r w:rsidRPr="006858F7">
        <w:rPr>
          <w:rFonts w:ascii="Century Gothic" w:hAnsi="Century Gothic" w:cs="Times New Roman"/>
          <w:sz w:val="22"/>
        </w:rPr>
        <w:t xml:space="preserve"> y con otras conductas punibles</w:t>
      </w:r>
      <w:r w:rsidRPr="006858F7">
        <w:rPr>
          <w:rStyle w:val="Refdenotaalpie"/>
          <w:rFonts w:ascii="Century Gothic" w:hAnsi="Century Gothic" w:cs="Times New Roman"/>
          <w:sz w:val="22"/>
        </w:rPr>
        <w:footnoteReference w:id="8"/>
      </w:r>
      <w:r w:rsidRPr="006858F7">
        <w:rPr>
          <w:rFonts w:ascii="Century Gothic" w:hAnsi="Century Gothic" w:cs="Times New Roman"/>
          <w:sz w:val="22"/>
        </w:rPr>
        <w:t xml:space="preserve">. </w:t>
      </w:r>
    </w:p>
    <w:p w14:paraId="5878EC3D" w14:textId="4AC9CDE8" w:rsidR="008B220D" w:rsidRPr="006858F7" w:rsidRDefault="008B220D" w:rsidP="008B220D">
      <w:pPr>
        <w:spacing w:before="0"/>
        <w:rPr>
          <w:rFonts w:ascii="Century Gothic" w:hAnsi="Century Gothic" w:cs="Times New Roman"/>
          <w:sz w:val="22"/>
        </w:rPr>
      </w:pPr>
      <w:r w:rsidRPr="006858F7">
        <w:rPr>
          <w:rFonts w:ascii="Century Gothic" w:hAnsi="Century Gothic" w:cs="Times New Roman"/>
          <w:sz w:val="22"/>
        </w:rPr>
        <w:t>Si bien es cierto cualquier persona puede ser agredida por miembros de su núcleo familiar, también lo es que en la mayoría de los casos las víctimas pertenecen a poblaciones vulnerables como las mujeres y los niños y niñas. De conformidad con los datos reportados por el Instituto Nacional de Medicina Legal y Ciencias Forenses</w:t>
      </w:r>
      <w:r w:rsidR="003F7EF2" w:rsidRPr="006858F7">
        <w:rPr>
          <w:rFonts w:ascii="Century Gothic" w:hAnsi="Century Gothic" w:cs="Times New Roman"/>
          <w:sz w:val="22"/>
        </w:rPr>
        <w:t>,</w:t>
      </w:r>
      <w:r w:rsidRPr="006858F7">
        <w:rPr>
          <w:rFonts w:ascii="Century Gothic" w:hAnsi="Century Gothic" w:cs="Times New Roman"/>
          <w:sz w:val="22"/>
        </w:rPr>
        <w:t xml:space="preserve"> el 59,8% de las personas atendidas por el delito de violencia intrafamiliar </w:t>
      </w:r>
      <w:r w:rsidR="003F7EF2" w:rsidRPr="006858F7">
        <w:rPr>
          <w:rFonts w:ascii="Century Gothic" w:hAnsi="Century Gothic" w:cs="Times New Roman"/>
          <w:sz w:val="22"/>
        </w:rPr>
        <w:t>son</w:t>
      </w:r>
      <w:r w:rsidRPr="006858F7">
        <w:rPr>
          <w:rFonts w:ascii="Century Gothic" w:hAnsi="Century Gothic" w:cs="Times New Roman"/>
          <w:sz w:val="22"/>
        </w:rPr>
        <w:t xml:space="preserve"> mujeres, y el 37,7% de los casos ocurrieron en contra de niños, niñas y adolescentes</w:t>
      </w:r>
      <w:r w:rsidRPr="006858F7">
        <w:rPr>
          <w:rStyle w:val="Refdenotaalpie"/>
          <w:rFonts w:ascii="Century Gothic" w:hAnsi="Century Gothic" w:cs="Times New Roman"/>
          <w:sz w:val="22"/>
        </w:rPr>
        <w:footnoteReference w:id="9"/>
      </w:r>
      <w:r w:rsidRPr="006858F7">
        <w:rPr>
          <w:rFonts w:ascii="Century Gothic" w:hAnsi="Century Gothic" w:cs="Times New Roman"/>
          <w:sz w:val="22"/>
        </w:rPr>
        <w:t xml:space="preserve">. </w:t>
      </w:r>
    </w:p>
    <w:p w14:paraId="320BBFC5"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 xml:space="preserve">En este contexto es importante reconocer la necesidad de adoptar medidas de política criminal suficientes para lograr la judicialización de estas conductas y reducir así la incidencia de este fenómeno criminal en la población colombiana, en especial en la vida de las mujeres, los niños y las niñas. </w:t>
      </w:r>
    </w:p>
    <w:p w14:paraId="07C8B9B8" w14:textId="77777777" w:rsidR="008B220D" w:rsidRPr="006858F7" w:rsidRDefault="008B220D" w:rsidP="00F8685B">
      <w:pPr>
        <w:pStyle w:val="Ttulo2"/>
        <w:rPr>
          <w:rFonts w:ascii="Century Gothic" w:hAnsi="Century Gothic" w:cs="Times New Roman"/>
          <w:b/>
          <w:color w:val="auto"/>
          <w:sz w:val="22"/>
          <w:szCs w:val="22"/>
        </w:rPr>
      </w:pPr>
      <w:r w:rsidRPr="006858F7">
        <w:rPr>
          <w:rFonts w:ascii="Century Gothic" w:hAnsi="Century Gothic" w:cs="Times New Roman"/>
          <w:b/>
          <w:color w:val="auto"/>
          <w:sz w:val="22"/>
          <w:szCs w:val="22"/>
        </w:rPr>
        <w:t>3.2. El proyecto de ley objeto de debate propone mecanismos suficientes de política criminal para contrarrestar la violencia que ocurre al interior de las familias</w:t>
      </w:r>
    </w:p>
    <w:p w14:paraId="3A897075" w14:textId="77777777" w:rsidR="008B220D" w:rsidRPr="006858F7" w:rsidRDefault="008B220D" w:rsidP="008B220D">
      <w:pPr>
        <w:pStyle w:val="Sinespaciado"/>
        <w:rPr>
          <w:rFonts w:ascii="Century Gothic" w:hAnsi="Century Gothic" w:cs="Times New Roman"/>
          <w:sz w:val="22"/>
        </w:rPr>
      </w:pPr>
    </w:p>
    <w:p w14:paraId="45ABFD37" w14:textId="77777777" w:rsidR="008B220D" w:rsidRPr="006858F7" w:rsidRDefault="008B220D" w:rsidP="008B220D">
      <w:pPr>
        <w:pStyle w:val="Sinespaciado"/>
        <w:rPr>
          <w:rFonts w:ascii="Century Gothic" w:hAnsi="Century Gothic" w:cs="Times New Roman"/>
          <w:sz w:val="22"/>
        </w:rPr>
      </w:pPr>
      <w:r w:rsidRPr="006858F7">
        <w:rPr>
          <w:rFonts w:ascii="Century Gothic" w:hAnsi="Century Gothic" w:cs="Times New Roman"/>
          <w:sz w:val="22"/>
        </w:rPr>
        <w:t xml:space="preserve">Ante las distintas problemáticas advertidas en materia de judicialización de la violencia intrafamiliar, el proyecto de ley objeto de debate propone una serie de mecanismos sustanciales y procedimentales que permitirán: (i) abordar de manera integral todos los casos que constituyen violencia al interior de las familias, (ii) incentivar a las personas para que eviten reincidir en las conductas que afectan a </w:t>
      </w:r>
      <w:r w:rsidRPr="006858F7">
        <w:rPr>
          <w:rFonts w:ascii="Century Gothic" w:hAnsi="Century Gothic" w:cs="Times New Roman"/>
          <w:sz w:val="22"/>
        </w:rPr>
        <w:lastRenderedPageBreak/>
        <w:t xml:space="preserve">las familias, (iii) proteger el derecho a la intimidad de las víctimas de esta conducta, (iv) evitar la victimización secundaria y (v) reducir la duración del proceso penal en estos casos. </w:t>
      </w:r>
    </w:p>
    <w:p w14:paraId="721DF01C" w14:textId="77777777" w:rsidR="008B220D" w:rsidRPr="006858F7" w:rsidRDefault="008B220D" w:rsidP="008B220D">
      <w:pPr>
        <w:pStyle w:val="Sinespaciado"/>
        <w:rPr>
          <w:rFonts w:ascii="Century Gothic" w:hAnsi="Century Gothic" w:cs="Times New Roman"/>
          <w:sz w:val="22"/>
        </w:rPr>
      </w:pPr>
    </w:p>
    <w:p w14:paraId="019146CE" w14:textId="77777777" w:rsidR="008B220D" w:rsidRPr="006858F7" w:rsidRDefault="008B220D" w:rsidP="00F8685B">
      <w:pPr>
        <w:pStyle w:val="Ttulo3"/>
        <w:rPr>
          <w:rFonts w:ascii="Century Gothic" w:hAnsi="Century Gothic" w:cs="Times New Roman"/>
          <w:b/>
          <w:color w:val="auto"/>
          <w:sz w:val="22"/>
          <w:szCs w:val="22"/>
        </w:rPr>
      </w:pPr>
      <w:r w:rsidRPr="006858F7">
        <w:rPr>
          <w:rFonts w:ascii="Century Gothic" w:hAnsi="Century Gothic" w:cs="Times New Roman"/>
          <w:b/>
          <w:color w:val="auto"/>
          <w:sz w:val="22"/>
          <w:szCs w:val="22"/>
        </w:rPr>
        <w:t>3.2.1. Precisa el tipo penal para que comprenda todos los tipos de violencia que ocurren al interior de las familias</w:t>
      </w:r>
    </w:p>
    <w:p w14:paraId="3D55FE37" w14:textId="77777777" w:rsidR="008B220D" w:rsidRPr="006858F7" w:rsidRDefault="008B220D" w:rsidP="008B220D">
      <w:pPr>
        <w:pStyle w:val="Sinespaciado"/>
        <w:rPr>
          <w:rFonts w:ascii="Century Gothic" w:hAnsi="Century Gothic" w:cs="Times New Roman"/>
          <w:sz w:val="22"/>
        </w:rPr>
      </w:pPr>
    </w:p>
    <w:p w14:paraId="2706525C"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 xml:space="preserve">El Artículo 229 del Código Penal establece que el maltrato de una persona en contra de cualquier miembro de su </w:t>
      </w:r>
      <w:r w:rsidRPr="006858F7">
        <w:rPr>
          <w:rFonts w:ascii="Century Gothic" w:hAnsi="Century Gothic" w:cs="Times New Roman"/>
          <w:i/>
          <w:sz w:val="22"/>
        </w:rPr>
        <w:t>núcleo familiar</w:t>
      </w:r>
      <w:r w:rsidRPr="006858F7">
        <w:rPr>
          <w:rFonts w:ascii="Century Gothic" w:hAnsi="Century Gothic" w:cs="Times New Roman"/>
          <w:sz w:val="22"/>
        </w:rPr>
        <w:t xml:space="preserve"> constituye el delito de violencia intrafamiliar. De conformidad con la interpretación que hace la Corte Suprema de Justicia</w:t>
      </w:r>
      <w:r w:rsidRPr="006858F7">
        <w:rPr>
          <w:rStyle w:val="Refdenotaalpie"/>
          <w:rFonts w:ascii="Century Gothic" w:hAnsi="Century Gothic" w:cs="Times New Roman"/>
          <w:sz w:val="22"/>
        </w:rPr>
        <w:footnoteReference w:id="10"/>
      </w:r>
      <w:r w:rsidRPr="006858F7">
        <w:rPr>
          <w:rFonts w:ascii="Century Gothic" w:hAnsi="Century Gothic" w:cs="Times New Roman"/>
          <w:sz w:val="22"/>
        </w:rPr>
        <w:t xml:space="preserve"> respecto de este delito, la conducta se configura cuando el maltrato tiene lugar:</w:t>
      </w:r>
    </w:p>
    <w:p w14:paraId="38925236" w14:textId="77777777" w:rsidR="008B220D" w:rsidRPr="006858F7" w:rsidRDefault="008B220D" w:rsidP="008B220D">
      <w:pPr>
        <w:pStyle w:val="Prrafodelista"/>
        <w:numPr>
          <w:ilvl w:val="0"/>
          <w:numId w:val="9"/>
        </w:numPr>
        <w:rPr>
          <w:rFonts w:ascii="Century Gothic" w:hAnsi="Century Gothic" w:cs="Times New Roman"/>
          <w:sz w:val="22"/>
        </w:rPr>
      </w:pPr>
      <w:r w:rsidRPr="006858F7">
        <w:rPr>
          <w:rFonts w:ascii="Century Gothic" w:hAnsi="Century Gothic" w:cs="Times New Roman"/>
          <w:sz w:val="22"/>
        </w:rPr>
        <w:t xml:space="preserve">Entre cónyuges o compañeros permanentes que mantienen un </w:t>
      </w:r>
      <w:r w:rsidRPr="006858F7">
        <w:rPr>
          <w:rFonts w:ascii="Century Gothic" w:hAnsi="Century Gothic" w:cs="Times New Roman"/>
          <w:i/>
          <w:sz w:val="22"/>
        </w:rPr>
        <w:t xml:space="preserve">núcleo familiar. </w:t>
      </w:r>
    </w:p>
    <w:p w14:paraId="6068C3B2" w14:textId="77777777" w:rsidR="008B220D" w:rsidRPr="006858F7" w:rsidRDefault="008B220D" w:rsidP="008B220D">
      <w:pPr>
        <w:pStyle w:val="Prrafodelista"/>
        <w:numPr>
          <w:ilvl w:val="0"/>
          <w:numId w:val="9"/>
        </w:numPr>
        <w:rPr>
          <w:rFonts w:ascii="Century Gothic" w:hAnsi="Century Gothic" w:cs="Times New Roman"/>
          <w:sz w:val="22"/>
        </w:rPr>
      </w:pPr>
      <w:r w:rsidRPr="006858F7">
        <w:rPr>
          <w:rFonts w:ascii="Century Gothic" w:hAnsi="Century Gothic" w:cs="Times New Roman"/>
          <w:sz w:val="22"/>
        </w:rPr>
        <w:t>En contra de los padres por parte de los hijos, sin importar si sus progenitores conviven.</w:t>
      </w:r>
    </w:p>
    <w:p w14:paraId="2E287AF4" w14:textId="77777777" w:rsidR="008B220D" w:rsidRPr="006858F7" w:rsidRDefault="008B220D" w:rsidP="008B220D">
      <w:pPr>
        <w:pStyle w:val="Prrafodelista"/>
        <w:numPr>
          <w:ilvl w:val="0"/>
          <w:numId w:val="9"/>
        </w:numPr>
        <w:rPr>
          <w:rFonts w:ascii="Century Gothic" w:hAnsi="Century Gothic" w:cs="Times New Roman"/>
          <w:sz w:val="22"/>
        </w:rPr>
      </w:pPr>
      <w:r w:rsidRPr="006858F7">
        <w:rPr>
          <w:rFonts w:ascii="Century Gothic" w:hAnsi="Century Gothic" w:cs="Times New Roman"/>
          <w:sz w:val="22"/>
        </w:rPr>
        <w:t>Entre los ascendientes, descendientes e hijos adoptivos sin importar si conviven o no.</w:t>
      </w:r>
    </w:p>
    <w:p w14:paraId="62019CB5" w14:textId="77777777" w:rsidR="008B220D" w:rsidRPr="006858F7" w:rsidRDefault="008B220D" w:rsidP="008B220D">
      <w:pPr>
        <w:pStyle w:val="Prrafodelista"/>
        <w:numPr>
          <w:ilvl w:val="0"/>
          <w:numId w:val="9"/>
        </w:numPr>
        <w:rPr>
          <w:rFonts w:ascii="Century Gothic" w:hAnsi="Century Gothic" w:cs="Times New Roman"/>
          <w:sz w:val="22"/>
        </w:rPr>
      </w:pPr>
      <w:r w:rsidRPr="006858F7">
        <w:rPr>
          <w:rFonts w:ascii="Century Gothic" w:hAnsi="Century Gothic" w:cs="Times New Roman"/>
          <w:sz w:val="22"/>
        </w:rPr>
        <w:t>En contra de alguno de los miembros del núcleo familiar cuando se ocasiona por alguna persona que</w:t>
      </w:r>
      <w:r w:rsidR="003F7EF2" w:rsidRPr="006858F7">
        <w:rPr>
          <w:rFonts w:ascii="Century Gothic" w:hAnsi="Century Gothic" w:cs="Times New Roman"/>
          <w:sz w:val="22"/>
        </w:rPr>
        <w:t>,</w:t>
      </w:r>
      <w:r w:rsidRPr="006858F7">
        <w:rPr>
          <w:rFonts w:ascii="Century Gothic" w:hAnsi="Century Gothic" w:cs="Times New Roman"/>
          <w:sz w:val="22"/>
        </w:rPr>
        <w:t xml:space="preserve"> sin ser parte de la familia</w:t>
      </w:r>
      <w:r w:rsidR="003F7EF2" w:rsidRPr="006858F7">
        <w:rPr>
          <w:rFonts w:ascii="Century Gothic" w:hAnsi="Century Gothic" w:cs="Times New Roman"/>
          <w:sz w:val="22"/>
        </w:rPr>
        <w:t>,</w:t>
      </w:r>
      <w:r w:rsidRPr="006858F7">
        <w:rPr>
          <w:rFonts w:ascii="Century Gothic" w:hAnsi="Century Gothic" w:cs="Times New Roman"/>
          <w:sz w:val="22"/>
        </w:rPr>
        <w:t xml:space="preserve"> está encargada del cuidado de alguno de los miembros </w:t>
      </w:r>
    </w:p>
    <w:p w14:paraId="72E5C330" w14:textId="3AED22F6"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Según la jurisprudencia de dicha Corporación la expresión “</w:t>
      </w:r>
      <w:r w:rsidRPr="006858F7">
        <w:rPr>
          <w:rFonts w:ascii="Century Gothic" w:hAnsi="Century Gothic" w:cs="Times New Roman"/>
          <w:i/>
          <w:sz w:val="22"/>
        </w:rPr>
        <w:t>el padre y la madre de familia, aunque no convivan en un mismo lugar</w:t>
      </w:r>
      <w:r w:rsidRPr="006858F7">
        <w:rPr>
          <w:rFonts w:ascii="Century Gothic" w:hAnsi="Century Gothic" w:cs="Times New Roman"/>
          <w:sz w:val="22"/>
        </w:rPr>
        <w:t>” contenida en el artículo 2 de la Ley 294 de 1996, que define los integrantes de la familia, hace referencia a la relación de los hijos con los padres y no entre las personas que tienen un hijo en común. Por lo tanto, las agresiones entre los hijos y sus padres, a pesar de que no convivan, constituyen violencia intrafamiliar.</w:t>
      </w:r>
      <w:r w:rsidRPr="006858F7">
        <w:rPr>
          <w:rFonts w:ascii="Century Gothic" w:hAnsi="Century Gothic" w:cs="Times New Roman"/>
          <w:i/>
          <w:sz w:val="22"/>
        </w:rPr>
        <w:t xml:space="preserve"> </w:t>
      </w:r>
      <w:r w:rsidRPr="006858F7">
        <w:rPr>
          <w:rFonts w:ascii="Century Gothic" w:hAnsi="Century Gothic" w:cs="Times New Roman"/>
          <w:sz w:val="22"/>
        </w:rPr>
        <w:t>Por el contrario, los casos de maltrato entre personas que tienen un hijo en común pero no conviven constituirían e</w:t>
      </w:r>
      <w:r w:rsidR="003F7EF2" w:rsidRPr="006858F7">
        <w:rPr>
          <w:rFonts w:ascii="Century Gothic" w:hAnsi="Century Gothic" w:cs="Times New Roman"/>
          <w:sz w:val="22"/>
        </w:rPr>
        <w:t>l</w:t>
      </w:r>
      <w:r w:rsidRPr="006858F7">
        <w:rPr>
          <w:rFonts w:ascii="Century Gothic" w:hAnsi="Century Gothic" w:cs="Times New Roman"/>
          <w:sz w:val="22"/>
        </w:rPr>
        <w:t xml:space="preserve"> delito de lesiones personales</w:t>
      </w:r>
      <w:r w:rsidRPr="006858F7">
        <w:rPr>
          <w:rStyle w:val="Refdenotaalpie"/>
          <w:rFonts w:ascii="Century Gothic" w:hAnsi="Century Gothic" w:cs="Times New Roman"/>
          <w:sz w:val="22"/>
        </w:rPr>
        <w:footnoteReference w:id="11"/>
      </w:r>
      <w:r w:rsidRPr="006858F7">
        <w:rPr>
          <w:rFonts w:ascii="Century Gothic" w:hAnsi="Century Gothic" w:cs="Times New Roman"/>
          <w:sz w:val="22"/>
        </w:rPr>
        <w:t xml:space="preserve">. </w:t>
      </w:r>
    </w:p>
    <w:p w14:paraId="737DF6CE"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 xml:space="preserve">Así pues, el tipo penal tal como está contemplado en la actualidad excluye algunos escenarios de violencia que ocurre al interior de las familias o con ocasión de vínculos familiares como los siguientes: </w:t>
      </w:r>
    </w:p>
    <w:p w14:paraId="42722C1B" w14:textId="77777777" w:rsidR="008B220D" w:rsidRPr="006858F7" w:rsidRDefault="008B220D" w:rsidP="008B220D">
      <w:pPr>
        <w:pStyle w:val="Prrafodelista"/>
        <w:numPr>
          <w:ilvl w:val="0"/>
          <w:numId w:val="7"/>
        </w:numPr>
        <w:rPr>
          <w:rFonts w:ascii="Century Gothic" w:hAnsi="Century Gothic" w:cs="Times New Roman"/>
          <w:sz w:val="22"/>
        </w:rPr>
      </w:pPr>
      <w:r w:rsidRPr="006858F7">
        <w:rPr>
          <w:rFonts w:ascii="Century Gothic" w:hAnsi="Century Gothic" w:cs="Times New Roman"/>
          <w:sz w:val="22"/>
        </w:rPr>
        <w:t>Las exparejas que habían conformado un vínculo permanente en el tiempo</w:t>
      </w:r>
    </w:p>
    <w:p w14:paraId="3112D79C" w14:textId="77777777" w:rsidR="008B220D" w:rsidRPr="006858F7" w:rsidRDefault="008B220D" w:rsidP="008B220D">
      <w:pPr>
        <w:pStyle w:val="Prrafodelista"/>
        <w:numPr>
          <w:ilvl w:val="0"/>
          <w:numId w:val="7"/>
        </w:numPr>
        <w:rPr>
          <w:rFonts w:ascii="Century Gothic" w:hAnsi="Century Gothic" w:cs="Times New Roman"/>
          <w:sz w:val="22"/>
        </w:rPr>
      </w:pPr>
      <w:r w:rsidRPr="006858F7">
        <w:rPr>
          <w:rFonts w:ascii="Century Gothic" w:hAnsi="Century Gothic" w:cs="Times New Roman"/>
          <w:sz w:val="22"/>
        </w:rPr>
        <w:t xml:space="preserve">Los padres que no conviven en el mismo lugar </w:t>
      </w:r>
    </w:p>
    <w:p w14:paraId="3AE6404F" w14:textId="77777777" w:rsidR="008B220D" w:rsidRPr="006858F7" w:rsidRDefault="008B220D" w:rsidP="008B220D">
      <w:pPr>
        <w:pStyle w:val="Prrafodelista"/>
        <w:numPr>
          <w:ilvl w:val="0"/>
          <w:numId w:val="7"/>
        </w:numPr>
        <w:rPr>
          <w:rFonts w:ascii="Century Gothic" w:hAnsi="Century Gothic" w:cs="Times New Roman"/>
          <w:sz w:val="22"/>
        </w:rPr>
      </w:pPr>
      <w:r w:rsidRPr="006858F7">
        <w:rPr>
          <w:rFonts w:ascii="Century Gothic" w:hAnsi="Century Gothic" w:cs="Times New Roman"/>
          <w:sz w:val="22"/>
        </w:rPr>
        <w:t>Las personas encargadas del cuidado de miembros de una familia</w:t>
      </w:r>
    </w:p>
    <w:p w14:paraId="2E3DD8DD" w14:textId="77777777" w:rsidR="008B220D" w:rsidRPr="006858F7" w:rsidRDefault="008B220D" w:rsidP="008B220D">
      <w:pPr>
        <w:pStyle w:val="Prrafodelista"/>
        <w:numPr>
          <w:ilvl w:val="0"/>
          <w:numId w:val="7"/>
        </w:numPr>
        <w:rPr>
          <w:rFonts w:ascii="Century Gothic" w:hAnsi="Century Gothic" w:cs="Times New Roman"/>
          <w:sz w:val="22"/>
        </w:rPr>
      </w:pPr>
      <w:r w:rsidRPr="006858F7">
        <w:rPr>
          <w:rFonts w:ascii="Century Gothic" w:hAnsi="Century Gothic" w:cs="Times New Roman"/>
          <w:sz w:val="22"/>
        </w:rPr>
        <w:t>Las personas que sostienen relaciones extramatrimoniales de carácter permanente, con una clara e inequívoca vocación de estabilidad</w:t>
      </w:r>
    </w:p>
    <w:p w14:paraId="15B558AD"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La mayoría de los casos excluidos en la comprensión del tipo penal que hace la Corte Suprema de Justicia están relacionados con la violencia que ocurre entre parejas que no tienen un vínculo reconocido formalmente y las exparejas. La ausencia de inclusión de estos casos desconoce que la violencia entre parejas y exparejas constituye un ciclo de violencia que puede desencadenar en otro tipo de delitos, que afectan de manera especial a las mujeres</w:t>
      </w:r>
      <w:r w:rsidRPr="006858F7">
        <w:rPr>
          <w:rStyle w:val="Refdenotaalpie"/>
          <w:rFonts w:ascii="Century Gothic" w:hAnsi="Century Gothic" w:cs="Times New Roman"/>
          <w:sz w:val="22"/>
        </w:rPr>
        <w:footnoteReference w:id="12"/>
      </w:r>
      <w:r w:rsidRPr="006858F7">
        <w:rPr>
          <w:rFonts w:ascii="Century Gothic" w:hAnsi="Century Gothic" w:cs="Times New Roman"/>
          <w:sz w:val="22"/>
        </w:rPr>
        <w:t>. En Colombia las mujeres son sometidas a distintas formas de violencia por parte de sus ex parejas. El año pasado el 42% de los casos registrados por violencia intrafamiliar tienen como agresor identificado a una expareja o exesposo. Asimismo, de los 50.072 casos de violencia en parejas o exparejas reportados el 86% fueron cometidos en contra de mujeres</w:t>
      </w:r>
      <w:r w:rsidRPr="006858F7">
        <w:rPr>
          <w:rStyle w:val="Refdenotaalpie"/>
          <w:rFonts w:ascii="Century Gothic" w:hAnsi="Century Gothic" w:cs="Times New Roman"/>
          <w:sz w:val="22"/>
        </w:rPr>
        <w:footnoteReference w:id="13"/>
      </w:r>
      <w:r w:rsidRPr="006858F7">
        <w:rPr>
          <w:rFonts w:ascii="Century Gothic" w:hAnsi="Century Gothic" w:cs="Times New Roman"/>
          <w:sz w:val="22"/>
        </w:rPr>
        <w:t xml:space="preserve">. En consecuencia, esta interpretación genera una desprotección implícita a este grupo poblacional que ha sido históricamente discriminado. </w:t>
      </w:r>
    </w:p>
    <w:p w14:paraId="691795C6"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 xml:space="preserve">Esta alarmante situación advierte la necesidad de incluir esos escenarios de violencia entre parejas y exparejas. Si bien es cierto el delito de violencia intrafamiliar es residual y en estos casos podrían ser judicializados a través del delito de lesiones personales, también lo es que el delito de violencia intrafamiliar es investigable de oficio y permite una mayor articulación con otras autoridades del Estado para ofrecer mecanismos de protección a las víctimas. </w:t>
      </w:r>
    </w:p>
    <w:p w14:paraId="48D9BE39"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De conformidad con lo anterior, la propuesta legislativa pretende incluir algunos eventos que a la luz de la Ley 294 de 1996, como la violencia entre padres aunque no convivan, y de los reportes generados por las instituciones públicas configuran escenarios especiales de violencia intrafamiliar. Este mecanismo ha sido utilizado en la tipificación del delito que han hecho en otras legislaciones del mundo</w:t>
      </w:r>
      <w:r w:rsidRPr="006858F7">
        <w:rPr>
          <w:rStyle w:val="Refdenotaalpie"/>
          <w:rFonts w:ascii="Century Gothic" w:hAnsi="Century Gothic" w:cs="Times New Roman"/>
          <w:sz w:val="22"/>
        </w:rPr>
        <w:footnoteReference w:id="14"/>
      </w:r>
      <w:r w:rsidR="00416B5F" w:rsidRPr="006858F7">
        <w:rPr>
          <w:rFonts w:ascii="Century Gothic" w:hAnsi="Century Gothic" w:cs="Times New Roman"/>
          <w:sz w:val="22"/>
        </w:rPr>
        <w:t>.</w:t>
      </w:r>
    </w:p>
    <w:p w14:paraId="64635CC2" w14:textId="77777777" w:rsidR="008B220D" w:rsidRPr="006858F7" w:rsidRDefault="008B220D" w:rsidP="008B220D">
      <w:pPr>
        <w:pStyle w:val="Sinespaciado"/>
        <w:rPr>
          <w:rFonts w:ascii="Century Gothic" w:hAnsi="Century Gothic" w:cs="Times New Roman"/>
          <w:sz w:val="22"/>
        </w:rPr>
      </w:pPr>
    </w:p>
    <w:p w14:paraId="52EA6654" w14:textId="77777777" w:rsidR="008B220D" w:rsidRPr="006858F7" w:rsidRDefault="008B220D" w:rsidP="00F8685B">
      <w:pPr>
        <w:pStyle w:val="Ttulo3"/>
        <w:rPr>
          <w:rFonts w:ascii="Century Gothic" w:hAnsi="Century Gothic" w:cs="Times New Roman"/>
          <w:b/>
          <w:color w:val="auto"/>
          <w:sz w:val="22"/>
          <w:szCs w:val="22"/>
        </w:rPr>
      </w:pPr>
      <w:r w:rsidRPr="006858F7">
        <w:rPr>
          <w:rFonts w:ascii="Century Gothic" w:hAnsi="Century Gothic" w:cs="Times New Roman"/>
          <w:b/>
          <w:color w:val="auto"/>
          <w:sz w:val="22"/>
          <w:szCs w:val="22"/>
        </w:rPr>
        <w:t xml:space="preserve">3.2.2. Fortalece la sanción punitiva en los casos de reincidencia </w:t>
      </w:r>
    </w:p>
    <w:p w14:paraId="056474EB" w14:textId="312112D1"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Una de las situaciones relevantes en la judicialización del delito de violencia intrafamiliar es la reincidencia de los agresores en esta conducta punible o en otras que ate</w:t>
      </w:r>
      <w:r w:rsidR="00216340" w:rsidRPr="006858F7">
        <w:rPr>
          <w:rFonts w:ascii="Century Gothic" w:hAnsi="Century Gothic" w:cs="Times New Roman"/>
          <w:sz w:val="22"/>
        </w:rPr>
        <w:t>n</w:t>
      </w:r>
      <w:r w:rsidRPr="006858F7">
        <w:rPr>
          <w:rFonts w:ascii="Century Gothic" w:hAnsi="Century Gothic" w:cs="Times New Roman"/>
          <w:sz w:val="22"/>
        </w:rPr>
        <w:t>tan contra la integridad o vida de los miembros de su núcleo familiar. Con el fin de desincentivar la reincidencia en conductas que afecten a la familia</w:t>
      </w:r>
      <w:r w:rsidR="00EA1AEF" w:rsidRPr="006858F7">
        <w:rPr>
          <w:rFonts w:ascii="Century Gothic" w:hAnsi="Century Gothic" w:cs="Times New Roman"/>
          <w:sz w:val="22"/>
        </w:rPr>
        <w:t>,</w:t>
      </w:r>
      <w:r w:rsidRPr="006858F7">
        <w:rPr>
          <w:rFonts w:ascii="Century Gothic" w:hAnsi="Century Gothic" w:cs="Times New Roman"/>
          <w:sz w:val="22"/>
        </w:rPr>
        <w:t xml:space="preserve"> el texto aprobado en </w:t>
      </w:r>
      <w:r w:rsidR="00EA1AEF" w:rsidRPr="006858F7">
        <w:rPr>
          <w:rFonts w:ascii="Century Gothic" w:hAnsi="Century Gothic" w:cs="Times New Roman"/>
          <w:sz w:val="22"/>
        </w:rPr>
        <w:t>primer</w:t>
      </w:r>
      <w:r w:rsidRPr="006858F7">
        <w:rPr>
          <w:rFonts w:ascii="Century Gothic" w:hAnsi="Century Gothic" w:cs="Times New Roman"/>
          <w:sz w:val="22"/>
        </w:rPr>
        <w:t xml:space="preserve"> debate</w:t>
      </w:r>
      <w:r w:rsidR="00EA1AEF" w:rsidRPr="006858F7">
        <w:rPr>
          <w:rFonts w:ascii="Century Gothic" w:hAnsi="Century Gothic" w:cs="Times New Roman"/>
          <w:sz w:val="22"/>
        </w:rPr>
        <w:t xml:space="preserve"> en Cámara,</w:t>
      </w:r>
      <w:r w:rsidRPr="006858F7">
        <w:rPr>
          <w:rFonts w:ascii="Century Gothic" w:hAnsi="Century Gothic" w:cs="Times New Roman"/>
          <w:sz w:val="22"/>
        </w:rPr>
        <w:t xml:space="preserve"> establece una regla de dosificación punitiva especial. Esta nueva regla señala que cuando el agresor hubiese sido condenado por el delito de violencia intrafamiliar o por una de las contempladas en los Títulos I y IV del Código Penal dentro de los 10 años anteriores a la nueva condena el sentenciador deberá imponer una pena en el cuarto máximo de movilidad dispuesto para el delito. Este mecanismo pretende evitar que las personas incurran nuevamente en este tipo de actuaciones, y fortalecer la respuesta punitiva para aquellos casos en que se configuró la reincidencia. En estos casos el sentenciador deberá imponer la sanción punitiva entre los 84 y los 96 meses de prisión. </w:t>
      </w:r>
    </w:p>
    <w:p w14:paraId="79E60B06"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Tal como se expuso en la ponencia para primer debate, la violencia intrafamiliar es un fenómeno delictivo cíclico que responde a cuatro fases</w:t>
      </w:r>
      <w:r w:rsidRPr="006858F7">
        <w:rPr>
          <w:rStyle w:val="Refdenotaalpie"/>
          <w:rFonts w:ascii="Century Gothic" w:hAnsi="Century Gothic" w:cs="Times New Roman"/>
          <w:sz w:val="22"/>
        </w:rPr>
        <w:footnoteReference w:id="15"/>
      </w:r>
      <w:r w:rsidRPr="006858F7">
        <w:rPr>
          <w:rFonts w:ascii="Century Gothic" w:hAnsi="Century Gothic" w:cs="Times New Roman"/>
          <w:sz w:val="22"/>
        </w:rPr>
        <w:t xml:space="preserve">. Esto implica que las diferentes agresiones son cometidas de manera reiterada entre los miembros del núcleo familiar, motivo por el cual hay un amplio índice de reincidencia en conductas que afectan la integridad personal y la vida de las personas que integran la unidad familiar. </w:t>
      </w:r>
    </w:p>
    <w:p w14:paraId="0941D31A"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Según las cifras de la Fiscalía General de la Nación, hay un número importante de casos de violencia intrafamiliar que terminan en los delitos de homicidio y feminicidio, desde 2010 se han presentado 2.402 casos en donde la víctima es una mujer, que corresponden al 63% del total de casos. En ese mismo sentido, hasta el 29 de noviembre de 2018, la Fiscalía registró que el 23% de las víctimas del delito de feminicidio habían sido víctimas del delito de violencia intrafamiliar. Con ocasión de esta relación inminente entre la violencia intrafamiliar y el homicidio y el feminicidio, el Instituto Nacional de Medicina Legal y Ciencias Forenses creó un programa especial en el que evalúa el riesgo que tienen las mujeres que han sido víctimas de violencia en pareja de perder su vida. En el año 2017, este programa estableció que de las 6.754 mujeres atendidas, 4.072 estaban en riesgo grave o extremo de morir</w:t>
      </w:r>
      <w:r w:rsidRPr="006858F7">
        <w:rPr>
          <w:rStyle w:val="Refdenotaalpie"/>
          <w:rFonts w:ascii="Century Gothic" w:hAnsi="Century Gothic" w:cs="Times New Roman"/>
          <w:sz w:val="22"/>
        </w:rPr>
        <w:footnoteReference w:id="16"/>
      </w:r>
      <w:r w:rsidRPr="006858F7">
        <w:rPr>
          <w:rFonts w:ascii="Century Gothic" w:hAnsi="Century Gothic" w:cs="Times New Roman"/>
          <w:sz w:val="22"/>
        </w:rPr>
        <w:t xml:space="preserve">.  </w:t>
      </w:r>
    </w:p>
    <w:p w14:paraId="3D4C51E8" w14:textId="1C8301B1"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Lo anterior permite advertir que existe un importante índice de reincidencia de los agresores en delito que atentan contra la vida y la integridad de los miembros de su núcleo familiar. Por lo tanto, es necesario establecer mecanismos legislativos para desincentivar la reiteración en este tipo de conductas, como la creación de una regla diferenciada de dosificación punitiva. Tal como lo expuso la Corte Constitucional el legislador goza de un amplio margen de libertad de configuración normativa que le permite establecer no solo las penas, sino la forma de dosificación punitiva. En este ejercicio debe atender a los principios de necesidad, de exclusiva protección de bienes jurídicos, de legalidad, culpabilidad, razonabilidad y proporcionalidad</w:t>
      </w:r>
      <w:r w:rsidRPr="006858F7">
        <w:rPr>
          <w:rStyle w:val="Refdenotaalpie"/>
          <w:rFonts w:ascii="Century Gothic" w:hAnsi="Century Gothic" w:cs="Times New Roman"/>
          <w:sz w:val="22"/>
        </w:rPr>
        <w:footnoteReference w:id="17"/>
      </w:r>
      <w:r w:rsidRPr="006858F7">
        <w:rPr>
          <w:rFonts w:ascii="Century Gothic" w:hAnsi="Century Gothic" w:cs="Times New Roman"/>
          <w:sz w:val="22"/>
        </w:rPr>
        <w:t xml:space="preserve">. La medida propuesta cumple con todos los criterios expuestos por la jurisprudencia en tanto pretende proteger a la familia de todo tipo de violencia, es razonable y responde a la necesidad de desincentivar este tipo de conductas que terminan con afectaciones al derecho a la vida de las personas. </w:t>
      </w:r>
    </w:p>
    <w:p w14:paraId="33EEF35E" w14:textId="26A2C816"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 xml:space="preserve">Por último, es importante poner de presente que este mecanismo no implica un aumento a las </w:t>
      </w:r>
      <w:r w:rsidR="00216340" w:rsidRPr="006858F7">
        <w:rPr>
          <w:rFonts w:ascii="Century Gothic" w:hAnsi="Century Gothic" w:cs="Times New Roman"/>
          <w:sz w:val="22"/>
        </w:rPr>
        <w:t xml:space="preserve">penas </w:t>
      </w:r>
      <w:r w:rsidRPr="006858F7">
        <w:rPr>
          <w:rFonts w:ascii="Century Gothic" w:hAnsi="Century Gothic" w:cs="Times New Roman"/>
          <w:sz w:val="22"/>
        </w:rPr>
        <w:t xml:space="preserve">actualmente establecidas, sino que crea una regla </w:t>
      </w:r>
      <w:r w:rsidR="00216340" w:rsidRPr="006858F7">
        <w:rPr>
          <w:rFonts w:ascii="Century Gothic" w:hAnsi="Century Gothic" w:cs="Times New Roman"/>
          <w:sz w:val="22"/>
        </w:rPr>
        <w:t xml:space="preserve">diferenciada </w:t>
      </w:r>
      <w:r w:rsidRPr="006858F7">
        <w:rPr>
          <w:rFonts w:ascii="Century Gothic" w:hAnsi="Century Gothic" w:cs="Times New Roman"/>
          <w:sz w:val="22"/>
        </w:rPr>
        <w:t xml:space="preserve">para la determinación de los extremos punitivos. Tampoco representa una limitación indebida a la libertad del juez al momento de individualizar la pena. La regla especial de dosificación punitiva establece los límites punitivos en los que deberá moverse </w:t>
      </w:r>
      <w:r w:rsidR="0095608A" w:rsidRPr="006858F7">
        <w:rPr>
          <w:rFonts w:ascii="Century Gothic" w:hAnsi="Century Gothic" w:cs="Times New Roman"/>
          <w:sz w:val="22"/>
        </w:rPr>
        <w:t>e</w:t>
      </w:r>
      <w:r w:rsidRPr="006858F7">
        <w:rPr>
          <w:rFonts w:ascii="Century Gothic" w:hAnsi="Century Gothic" w:cs="Times New Roman"/>
          <w:sz w:val="22"/>
        </w:rPr>
        <w:t>l juzgador, quien al momento de imponer la sanción deberá ponderar “la mayor o menor gravedad de la conducta, el daño real o potencial creado, la naturaleza de las causales que agraven o atenúen la punibilidad, la intensidad del dolo, la preterintención o la culpa concurrentes, la necesidad de pena y la función que ella ha de cumplir en el caso concreto”</w:t>
      </w:r>
      <w:r w:rsidRPr="006858F7">
        <w:rPr>
          <w:rStyle w:val="Refdenotaalpie"/>
          <w:rFonts w:ascii="Century Gothic" w:hAnsi="Century Gothic" w:cs="Times New Roman"/>
          <w:sz w:val="22"/>
        </w:rPr>
        <w:footnoteReference w:id="18"/>
      </w:r>
      <w:r w:rsidRPr="006858F7">
        <w:rPr>
          <w:rFonts w:ascii="Century Gothic" w:hAnsi="Century Gothic" w:cs="Times New Roman"/>
          <w:sz w:val="22"/>
        </w:rPr>
        <w:t>.</w:t>
      </w:r>
    </w:p>
    <w:p w14:paraId="70FB3EED" w14:textId="77777777" w:rsidR="008B220D" w:rsidRPr="006858F7" w:rsidRDefault="008B220D" w:rsidP="008B220D">
      <w:pPr>
        <w:pStyle w:val="Sinespaciado"/>
        <w:rPr>
          <w:rFonts w:ascii="Century Gothic" w:hAnsi="Century Gothic" w:cs="Times New Roman"/>
          <w:sz w:val="22"/>
        </w:rPr>
      </w:pPr>
    </w:p>
    <w:p w14:paraId="71AA0BDF" w14:textId="77777777" w:rsidR="008B220D" w:rsidRPr="006858F7" w:rsidRDefault="008B220D" w:rsidP="00F8685B">
      <w:pPr>
        <w:pStyle w:val="Ttulo3"/>
        <w:rPr>
          <w:rFonts w:ascii="Century Gothic" w:hAnsi="Century Gothic" w:cs="Times New Roman"/>
          <w:b/>
          <w:color w:val="auto"/>
          <w:sz w:val="22"/>
          <w:szCs w:val="22"/>
        </w:rPr>
      </w:pPr>
      <w:r w:rsidRPr="006858F7">
        <w:rPr>
          <w:rFonts w:ascii="Century Gothic" w:hAnsi="Century Gothic" w:cs="Times New Roman"/>
          <w:b/>
          <w:color w:val="auto"/>
          <w:sz w:val="22"/>
          <w:szCs w:val="22"/>
        </w:rPr>
        <w:t>3.2.3. Establece mecanismos para proteger la intimidad de las víctimas</w:t>
      </w:r>
    </w:p>
    <w:p w14:paraId="23965AEE" w14:textId="29E88738"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En tanto</w:t>
      </w:r>
      <w:r w:rsidR="0095608A" w:rsidRPr="006858F7">
        <w:rPr>
          <w:rFonts w:ascii="Century Gothic" w:hAnsi="Century Gothic" w:cs="Times New Roman"/>
          <w:sz w:val="22"/>
        </w:rPr>
        <w:t xml:space="preserve"> </w:t>
      </w:r>
      <w:r w:rsidRPr="006858F7">
        <w:rPr>
          <w:rFonts w:ascii="Century Gothic" w:hAnsi="Century Gothic" w:cs="Times New Roman"/>
          <w:sz w:val="22"/>
        </w:rPr>
        <w:t xml:space="preserve">la violencia intrafamiliar está vinculada a la intimidad personal y familiar de las personas, la iniciativa propone facultar </w:t>
      </w:r>
      <w:r w:rsidR="00216340" w:rsidRPr="006858F7">
        <w:rPr>
          <w:rFonts w:ascii="Century Gothic" w:hAnsi="Century Gothic" w:cs="Times New Roman"/>
          <w:sz w:val="22"/>
        </w:rPr>
        <w:t>al</w:t>
      </w:r>
      <w:r w:rsidRPr="006858F7">
        <w:rPr>
          <w:rFonts w:ascii="Century Gothic" w:hAnsi="Century Gothic" w:cs="Times New Roman"/>
          <w:sz w:val="22"/>
        </w:rPr>
        <w:t xml:space="preserve"> juez para someter a reserva los datos personales de las víctimas, sus descendientes y personas que tenga bajo su cuidado, si así lo solicita alguno de los intervinientes. El texto aprobado en primer debate de Cámara reconoce a todos los intervinientes la posibilidad de solicitar la reserva de sus datos. Sin embargo, esta posibilidad debe atender a criterios de necesidad que solo aplican respecto de la víctima. Por lo tanto, el texto propuesto para debate limita la posibilidad de imponer la reserva de los datos personales </w:t>
      </w:r>
      <w:r w:rsidR="00216340" w:rsidRPr="006858F7">
        <w:rPr>
          <w:rFonts w:ascii="Century Gothic" w:hAnsi="Century Gothic" w:cs="Times New Roman"/>
          <w:sz w:val="22"/>
        </w:rPr>
        <w:t xml:space="preserve">solo en el caso de </w:t>
      </w:r>
      <w:r w:rsidRPr="006858F7">
        <w:rPr>
          <w:rFonts w:ascii="Century Gothic" w:hAnsi="Century Gothic" w:cs="Times New Roman"/>
          <w:sz w:val="22"/>
        </w:rPr>
        <w:t xml:space="preserve">las víctimas del delito. </w:t>
      </w:r>
    </w:p>
    <w:p w14:paraId="5A2B2C1C"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 xml:space="preserve">Este mecanismo garantiza a las víctimas mantener los aspectos de su ámbito privado fuera del conocimiento e injerencia de terceros. También evita que la publicidad de los datos represente eventos de revictimización para las personas al recordar el evento traumático o ser sometidas al escarnio público. </w:t>
      </w:r>
    </w:p>
    <w:p w14:paraId="45480B3C" w14:textId="77777777" w:rsidR="008B220D" w:rsidRPr="006858F7" w:rsidRDefault="008B220D" w:rsidP="008B220D">
      <w:pPr>
        <w:pStyle w:val="Sinespaciado"/>
        <w:rPr>
          <w:rFonts w:ascii="Century Gothic" w:hAnsi="Century Gothic" w:cs="Times New Roman"/>
          <w:sz w:val="22"/>
        </w:rPr>
      </w:pPr>
    </w:p>
    <w:p w14:paraId="77E3C733" w14:textId="77777777" w:rsidR="008B220D" w:rsidRPr="006858F7" w:rsidRDefault="008B220D" w:rsidP="00F8685B">
      <w:pPr>
        <w:pStyle w:val="Ttulo3"/>
        <w:rPr>
          <w:rFonts w:ascii="Century Gothic" w:hAnsi="Century Gothic" w:cs="Times New Roman"/>
          <w:b/>
          <w:color w:val="auto"/>
          <w:sz w:val="22"/>
          <w:szCs w:val="22"/>
        </w:rPr>
      </w:pPr>
      <w:r w:rsidRPr="006858F7">
        <w:rPr>
          <w:rFonts w:ascii="Century Gothic" w:hAnsi="Century Gothic" w:cs="Times New Roman"/>
          <w:b/>
          <w:color w:val="auto"/>
          <w:sz w:val="22"/>
          <w:szCs w:val="22"/>
        </w:rPr>
        <w:t xml:space="preserve">3.2.4. Evita la victimización secundaria de las personas a través del proceso penal </w:t>
      </w:r>
    </w:p>
    <w:p w14:paraId="785DD786" w14:textId="77777777" w:rsidR="00F8685B" w:rsidRPr="006858F7" w:rsidRDefault="00F8685B" w:rsidP="008B220D">
      <w:pPr>
        <w:pStyle w:val="Sinespaciado"/>
        <w:rPr>
          <w:rFonts w:ascii="Century Gothic" w:hAnsi="Century Gothic" w:cs="Times New Roman"/>
          <w:sz w:val="22"/>
        </w:rPr>
      </w:pPr>
    </w:p>
    <w:p w14:paraId="43223461" w14:textId="02CB0F5E" w:rsidR="008B220D" w:rsidRPr="006858F7" w:rsidRDefault="008B220D" w:rsidP="008B220D">
      <w:pPr>
        <w:pStyle w:val="Sinespaciado"/>
        <w:rPr>
          <w:rFonts w:ascii="Century Gothic" w:hAnsi="Century Gothic" w:cs="Times New Roman"/>
          <w:sz w:val="22"/>
        </w:rPr>
      </w:pPr>
      <w:r w:rsidRPr="006858F7">
        <w:rPr>
          <w:rFonts w:ascii="Century Gothic" w:hAnsi="Century Gothic" w:cs="Times New Roman"/>
          <w:sz w:val="22"/>
        </w:rPr>
        <w:t xml:space="preserve">Otra de las situaciones que dificultan la judicialización de estas conductas está relacionada con la participación de las víctimas en el proceso penal. En una cantidad importante de casos la violencia intrafamiliar ocurre en espacios cerrados en las que no existe otro medio de prueba </w:t>
      </w:r>
      <w:r w:rsidR="00216340" w:rsidRPr="006858F7">
        <w:rPr>
          <w:rFonts w:ascii="Century Gothic" w:hAnsi="Century Gothic" w:cs="Times New Roman"/>
          <w:sz w:val="22"/>
        </w:rPr>
        <w:t>diferente a</w:t>
      </w:r>
      <w:r w:rsidRPr="006858F7">
        <w:rPr>
          <w:rFonts w:ascii="Century Gothic" w:hAnsi="Century Gothic" w:cs="Times New Roman"/>
          <w:sz w:val="22"/>
        </w:rPr>
        <w:t>l testimonio de la víctima. A manera de ejemplo, el Instituto Nacional de Medicina Legal y Ciencias Forenses estableció que durante el 2017 atendió 10.385 casos de violencia intrafamiliar en contra niños, niñas y adolescentes de los cuales el 78.4% tuvieron lugar en sus viviendas, es decir, en espacios cerrados al público</w:t>
      </w:r>
      <w:r w:rsidRPr="006858F7">
        <w:rPr>
          <w:rStyle w:val="Refdenotaalpie"/>
          <w:rFonts w:ascii="Century Gothic" w:hAnsi="Century Gothic" w:cs="Times New Roman"/>
          <w:sz w:val="22"/>
        </w:rPr>
        <w:footnoteReference w:id="19"/>
      </w:r>
      <w:r w:rsidRPr="006858F7">
        <w:rPr>
          <w:rFonts w:ascii="Century Gothic" w:hAnsi="Century Gothic" w:cs="Times New Roman"/>
          <w:sz w:val="22"/>
        </w:rPr>
        <w:t>.</w:t>
      </w:r>
    </w:p>
    <w:p w14:paraId="12403B18" w14:textId="77777777" w:rsidR="008B220D" w:rsidRPr="006858F7" w:rsidRDefault="008B220D" w:rsidP="008B220D">
      <w:pPr>
        <w:pStyle w:val="Sinespaciado"/>
        <w:rPr>
          <w:rFonts w:ascii="Century Gothic" w:hAnsi="Century Gothic" w:cs="Times New Roman"/>
          <w:sz w:val="22"/>
        </w:rPr>
      </w:pPr>
    </w:p>
    <w:p w14:paraId="4527B0A1" w14:textId="77777777" w:rsidR="008B220D" w:rsidRPr="006858F7" w:rsidRDefault="008B220D" w:rsidP="008B220D">
      <w:pPr>
        <w:pStyle w:val="Sinespaciado"/>
        <w:rPr>
          <w:rFonts w:ascii="Century Gothic" w:hAnsi="Century Gothic" w:cs="Times New Roman"/>
          <w:sz w:val="22"/>
        </w:rPr>
      </w:pPr>
      <w:r w:rsidRPr="006858F7">
        <w:rPr>
          <w:rFonts w:ascii="Century Gothic" w:hAnsi="Century Gothic" w:cs="Times New Roman"/>
          <w:sz w:val="22"/>
        </w:rPr>
        <w:t xml:space="preserve">Sin embargo, su participación como testigos en el proceso suele ser limitada. En algunas ocasiones pierden el interés con el paso del tiempo, en otras son manipuladas para no participar del proceso, y en otras se retractan de la versión inicialmente rendida ante las autoridades. Adicionalmente, la práctica de la prueba testimonial en juicio puede representar una victimización secundaria en tanto obliga a la persona a confrontar a su agresor en juicio, situación que desconoce los derechos de las víctimas. Ante estas dificultades es necesario buscar mecanismos que permitan recolectar las pruebas relacionadas con estos procesos de manera anticipada y utilizarlas en los casos en que la participación de la víctima no es posible o está viciada por distintas circunstancias ocurridas de manera concomitante al proceso. </w:t>
      </w:r>
    </w:p>
    <w:p w14:paraId="1EAFF113" w14:textId="4319356E"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Como mecanismo para solucionar estas situaciones adversas y permitir a las v</w:t>
      </w:r>
      <w:r w:rsidR="00216340" w:rsidRPr="006858F7">
        <w:rPr>
          <w:rFonts w:ascii="Century Gothic" w:hAnsi="Century Gothic" w:cs="Times New Roman"/>
          <w:sz w:val="22"/>
        </w:rPr>
        <w:t>í</w:t>
      </w:r>
      <w:r w:rsidRPr="006858F7">
        <w:rPr>
          <w:rFonts w:ascii="Century Gothic" w:hAnsi="Century Gothic" w:cs="Times New Roman"/>
          <w:sz w:val="22"/>
        </w:rPr>
        <w:t xml:space="preserve">ctimas la participación adecuada en el juicio, el proyecto de ley habilita la práctica de pruebas anticipadas en los casos de violencia intrafamiliar. La propuesta establece que, a pesar de la disponibilidad del testigo, la prueba no deberá practicarse en juicio cuando su práctica pueda implicar revictimización o este mediada por escenarios que pueden hacer variar de manera injustificada el testimonio de la víctima. </w:t>
      </w:r>
    </w:p>
    <w:p w14:paraId="5EC01E8C"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Esta modificación no representa una vulneración a los principios de inmediación y contradicción toda vez que atenderá a lo dispuesto en el artículo 284 de la Ley 906 de 2004. Las excepciones establecidas a la práctica de la prueba en juicio atienden a criterios de razonabilidad y proporcionalidad que justifica la medida, toda vez que las víctimas de este delito que, a su vez están en condición de vulnerabilidad, pueden ser sometidas a procesos de victimización secundaria en el proceso penal al tener que reconocer el evento traumático y enfrentar a su agresor en juicio</w:t>
      </w:r>
      <w:r w:rsidRPr="006858F7">
        <w:rPr>
          <w:rStyle w:val="Refdenotaalpie"/>
          <w:rFonts w:ascii="Century Gothic" w:hAnsi="Century Gothic" w:cs="Times New Roman"/>
          <w:sz w:val="22"/>
        </w:rPr>
        <w:footnoteReference w:id="20"/>
      </w:r>
      <w:r w:rsidRPr="006858F7">
        <w:rPr>
          <w:rFonts w:ascii="Century Gothic" w:hAnsi="Century Gothic" w:cs="Times New Roman"/>
          <w:sz w:val="22"/>
        </w:rPr>
        <w:t xml:space="preserve">.  </w:t>
      </w:r>
    </w:p>
    <w:p w14:paraId="0B60C6FD" w14:textId="77777777" w:rsidR="008B220D" w:rsidRPr="006858F7" w:rsidRDefault="008B220D" w:rsidP="008B220D">
      <w:pPr>
        <w:pStyle w:val="Sinespaciado"/>
        <w:ind w:left="708" w:hanging="708"/>
        <w:rPr>
          <w:rFonts w:ascii="Century Gothic" w:hAnsi="Century Gothic" w:cs="Times New Roman"/>
          <w:sz w:val="22"/>
        </w:rPr>
      </w:pPr>
    </w:p>
    <w:p w14:paraId="1ABEA17E" w14:textId="77777777" w:rsidR="008B220D" w:rsidRPr="006858F7" w:rsidRDefault="008B220D" w:rsidP="00F8685B">
      <w:pPr>
        <w:pStyle w:val="Ttulo3"/>
        <w:rPr>
          <w:rFonts w:ascii="Century Gothic" w:hAnsi="Century Gothic" w:cs="Times New Roman"/>
          <w:b/>
          <w:color w:val="auto"/>
          <w:sz w:val="22"/>
          <w:szCs w:val="22"/>
        </w:rPr>
      </w:pPr>
      <w:r w:rsidRPr="006858F7">
        <w:rPr>
          <w:rFonts w:ascii="Century Gothic" w:hAnsi="Century Gothic" w:cs="Times New Roman"/>
          <w:b/>
          <w:color w:val="auto"/>
          <w:sz w:val="22"/>
          <w:szCs w:val="22"/>
        </w:rPr>
        <w:t>3.2.5. Utiliza los mecanismos previstos en la legislación para brindar mayor agilidad en los procesos penales por el delito de violencia intrafamiliar</w:t>
      </w:r>
    </w:p>
    <w:p w14:paraId="1E46207D" w14:textId="1BBCCF8F"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 xml:space="preserve">Por último, la iniciativa propone la aplicación del procedimiento abreviado sin posibilidad de conversión de la acción penal para el delito de violencia intrafamiliar. Esta iniciativa pretende reducir etapas procesales que permitan una resolución pronta y efectiva de los casos de violencia intrafamiliar. La intención es establecer procedimientos </w:t>
      </w:r>
      <w:r w:rsidR="00216340" w:rsidRPr="006858F7">
        <w:rPr>
          <w:rFonts w:ascii="Century Gothic" w:hAnsi="Century Gothic" w:cs="Times New Roman"/>
          <w:sz w:val="22"/>
        </w:rPr>
        <w:t>á</w:t>
      </w:r>
      <w:r w:rsidRPr="006858F7">
        <w:rPr>
          <w:rFonts w:ascii="Century Gothic" w:hAnsi="Century Gothic" w:cs="Times New Roman"/>
          <w:sz w:val="22"/>
        </w:rPr>
        <w:t xml:space="preserve">giles y efectivos para judicializar estos casos, </w:t>
      </w:r>
      <w:r w:rsidR="00216340" w:rsidRPr="006858F7">
        <w:rPr>
          <w:rFonts w:ascii="Century Gothic" w:hAnsi="Century Gothic" w:cs="Times New Roman"/>
          <w:sz w:val="22"/>
        </w:rPr>
        <w:t>manteniendo</w:t>
      </w:r>
      <w:r w:rsidRPr="006858F7">
        <w:rPr>
          <w:rFonts w:ascii="Century Gothic" w:hAnsi="Century Gothic" w:cs="Times New Roman"/>
          <w:sz w:val="22"/>
        </w:rPr>
        <w:t xml:space="preserve"> el ejercicio de la acción penal en cabeza de la Fiscalía General de la Nación</w:t>
      </w:r>
      <w:r w:rsidR="00216340" w:rsidRPr="006858F7">
        <w:rPr>
          <w:rFonts w:ascii="Century Gothic" w:hAnsi="Century Gothic" w:cs="Times New Roman"/>
          <w:sz w:val="22"/>
        </w:rPr>
        <w:t xml:space="preserve"> y de esta forma la protección de sus intereses</w:t>
      </w:r>
      <w:r w:rsidRPr="006858F7">
        <w:rPr>
          <w:rFonts w:ascii="Century Gothic" w:hAnsi="Century Gothic" w:cs="Times New Roman"/>
          <w:sz w:val="22"/>
        </w:rPr>
        <w:t xml:space="preserve">. </w:t>
      </w:r>
    </w:p>
    <w:p w14:paraId="2891C429" w14:textId="537611FA" w:rsidR="00230C96" w:rsidRPr="006858F7" w:rsidRDefault="00230C96" w:rsidP="00230C96">
      <w:pPr>
        <w:ind w:firstLine="1"/>
        <w:rPr>
          <w:rFonts w:ascii="Century Gothic" w:hAnsi="Century Gothic"/>
          <w:sz w:val="22"/>
        </w:rPr>
      </w:pPr>
      <w:r w:rsidRPr="006858F7">
        <w:rPr>
          <w:rFonts w:ascii="Century Gothic" w:hAnsi="Century Gothic" w:cs="Times New Roman"/>
          <w:sz w:val="22"/>
        </w:rPr>
        <w:t>Una de las proposiciones dejadas como constancia</w:t>
      </w:r>
      <w:r w:rsidRPr="006858F7">
        <w:rPr>
          <w:rFonts w:ascii="Century Gothic" w:hAnsi="Century Gothic"/>
          <w:sz w:val="22"/>
        </w:rPr>
        <w:t xml:space="preserve"> en el primer debate de Cámara</w:t>
      </w:r>
      <w:r w:rsidRPr="006858F7">
        <w:rPr>
          <w:rStyle w:val="Refdenotaalpie"/>
          <w:rFonts w:ascii="Century Gothic" w:hAnsi="Century Gothic"/>
          <w:sz w:val="22"/>
        </w:rPr>
        <w:footnoteReference w:id="21"/>
      </w:r>
      <w:r w:rsidRPr="006858F7">
        <w:rPr>
          <w:rFonts w:ascii="Century Gothic" w:hAnsi="Century Gothic"/>
          <w:sz w:val="22"/>
        </w:rPr>
        <w:t xml:space="preserve"> tenía la intención de modificar el artículo 547 del Código de Procedimiento Penal</w:t>
      </w:r>
      <w:r w:rsidRPr="006858F7">
        <w:rPr>
          <w:rStyle w:val="Refdenotaalpie"/>
          <w:rFonts w:ascii="Century Gothic" w:hAnsi="Century Gothic"/>
          <w:sz w:val="22"/>
        </w:rPr>
        <w:footnoteReference w:id="22"/>
      </w:r>
      <w:r w:rsidRPr="006858F7">
        <w:rPr>
          <w:rFonts w:ascii="Century Gothic" w:hAnsi="Century Gothic"/>
          <w:sz w:val="22"/>
        </w:rPr>
        <w:t xml:space="preserve">, con el fin de impedir la aplicación de los mecanismos de justicia restaurativa al delito de violencia intrafamiliar. La propuesta de modificación impediría que las victimas participen de programas </w:t>
      </w:r>
      <w:r w:rsidR="0022673C" w:rsidRPr="006858F7">
        <w:rPr>
          <w:rFonts w:ascii="Century Gothic" w:hAnsi="Century Gothic"/>
          <w:sz w:val="22"/>
        </w:rPr>
        <w:t>de justicia restaurativa</w:t>
      </w:r>
      <w:r w:rsidRPr="006858F7">
        <w:rPr>
          <w:rFonts w:ascii="Century Gothic" w:hAnsi="Century Gothic"/>
          <w:sz w:val="22"/>
        </w:rPr>
        <w:t xml:space="preserve"> que les permitan restablecer sus condiciones de vida tal como se encontraban antes de la comisión del delito</w:t>
      </w:r>
      <w:r w:rsidR="00646D48" w:rsidRPr="006858F7">
        <w:rPr>
          <w:rFonts w:ascii="Century Gothic" w:hAnsi="Century Gothic"/>
          <w:sz w:val="22"/>
        </w:rPr>
        <w:t>. Actualmente, la victi</w:t>
      </w:r>
      <w:r w:rsidR="0022673C" w:rsidRPr="006858F7">
        <w:rPr>
          <w:rFonts w:ascii="Century Gothic" w:hAnsi="Century Gothic"/>
          <w:sz w:val="22"/>
        </w:rPr>
        <w:t xml:space="preserve">ma </w:t>
      </w:r>
      <w:r w:rsidR="00207B09" w:rsidRPr="006858F7">
        <w:rPr>
          <w:rFonts w:ascii="Century Gothic" w:hAnsi="Century Gothic"/>
          <w:sz w:val="22"/>
        </w:rPr>
        <w:t>puede</w:t>
      </w:r>
      <w:r w:rsidR="0022673C" w:rsidRPr="006858F7">
        <w:rPr>
          <w:rFonts w:ascii="Century Gothic" w:hAnsi="Century Gothic"/>
          <w:sz w:val="22"/>
        </w:rPr>
        <w:t xml:space="preserve"> participar de este tipo de mecanismos con efectos limitados en el proceso penal</w:t>
      </w:r>
      <w:r w:rsidRPr="006858F7">
        <w:rPr>
          <w:rFonts w:ascii="Century Gothic" w:hAnsi="Century Gothic"/>
          <w:sz w:val="22"/>
        </w:rPr>
        <w:t>,</w:t>
      </w:r>
      <w:r w:rsidR="0022673C" w:rsidRPr="006858F7">
        <w:rPr>
          <w:rFonts w:ascii="Century Gothic" w:hAnsi="Century Gothic"/>
          <w:sz w:val="22"/>
        </w:rPr>
        <w:t xml:space="preserve"> situación que les permite recomponer sus </w:t>
      </w:r>
      <w:r w:rsidR="00790D43" w:rsidRPr="006858F7">
        <w:rPr>
          <w:rFonts w:ascii="Century Gothic" w:hAnsi="Century Gothic"/>
          <w:sz w:val="22"/>
        </w:rPr>
        <w:t xml:space="preserve">derechos, sin desistir del proceso penal. </w:t>
      </w:r>
      <w:r w:rsidR="00207B09" w:rsidRPr="006858F7">
        <w:rPr>
          <w:rFonts w:ascii="Century Gothic" w:hAnsi="Century Gothic"/>
          <w:sz w:val="22"/>
        </w:rPr>
        <w:t>Por lo tanto, una limitación de esta naturaleza podría resultar contraproducente</w:t>
      </w:r>
      <w:r w:rsidR="00D6541D" w:rsidRPr="006858F7">
        <w:rPr>
          <w:rFonts w:ascii="Century Gothic" w:hAnsi="Century Gothic"/>
          <w:sz w:val="22"/>
        </w:rPr>
        <w:t xml:space="preserve"> en términos de reparación para quienes sufrieron las consecuencias de la comisión del delito</w:t>
      </w:r>
      <w:r w:rsidR="0022673C" w:rsidRPr="006858F7">
        <w:rPr>
          <w:rFonts w:ascii="Century Gothic" w:hAnsi="Century Gothic"/>
          <w:sz w:val="22"/>
        </w:rPr>
        <w:t>.</w:t>
      </w:r>
    </w:p>
    <w:p w14:paraId="0C54B85A" w14:textId="1692EDFA" w:rsidR="008B220D" w:rsidRPr="006858F7" w:rsidRDefault="00F8685B" w:rsidP="00F8685B">
      <w:pPr>
        <w:pStyle w:val="Ttulo2"/>
        <w:rPr>
          <w:rFonts w:ascii="Century Gothic" w:hAnsi="Century Gothic" w:cs="Times New Roman"/>
          <w:b/>
          <w:color w:val="auto"/>
          <w:sz w:val="22"/>
          <w:szCs w:val="22"/>
        </w:rPr>
      </w:pPr>
      <w:r w:rsidRPr="006858F7">
        <w:rPr>
          <w:rFonts w:ascii="Century Gothic" w:hAnsi="Century Gothic" w:cs="Times New Roman"/>
          <w:b/>
          <w:color w:val="auto"/>
          <w:sz w:val="22"/>
          <w:szCs w:val="22"/>
        </w:rPr>
        <w:t xml:space="preserve">3.3. </w:t>
      </w:r>
      <w:r w:rsidR="008B220D" w:rsidRPr="006858F7">
        <w:rPr>
          <w:rFonts w:ascii="Century Gothic" w:hAnsi="Century Gothic" w:cs="Times New Roman"/>
          <w:b/>
          <w:color w:val="auto"/>
          <w:sz w:val="22"/>
          <w:szCs w:val="22"/>
        </w:rPr>
        <w:t>Constitucionalidad de las propuestas</w:t>
      </w:r>
    </w:p>
    <w:p w14:paraId="29311D61" w14:textId="77777777" w:rsidR="008B220D" w:rsidRPr="006858F7" w:rsidRDefault="008B220D" w:rsidP="008B220D">
      <w:pPr>
        <w:rPr>
          <w:rFonts w:ascii="Century Gothic" w:hAnsi="Century Gothic" w:cs="Times New Roman"/>
          <w:sz w:val="22"/>
        </w:rPr>
      </w:pPr>
      <w:r w:rsidRPr="006858F7">
        <w:rPr>
          <w:rFonts w:ascii="Century Gothic" w:hAnsi="Century Gothic" w:cs="Times New Roman"/>
          <w:sz w:val="22"/>
        </w:rPr>
        <w:t>En los mismos términos en que fue planteado en el texto de ponencia para primer debate en Cámara las propuestas del Proyecto de Ley 201 de 2018/ 139 de 2017, son mecanismos para cumplir con los compromisos internacionales suscritos por Colombia y para materializar el contenido de los artículo 2 y 42 de la Constitución Política de Colombia</w:t>
      </w:r>
      <w:r w:rsidRPr="006858F7">
        <w:rPr>
          <w:rStyle w:val="Refdenotaalpie"/>
          <w:rFonts w:ascii="Century Gothic" w:hAnsi="Century Gothic" w:cs="Times New Roman"/>
          <w:sz w:val="22"/>
        </w:rPr>
        <w:footnoteReference w:id="23"/>
      </w:r>
      <w:r w:rsidRPr="006858F7">
        <w:rPr>
          <w:rFonts w:ascii="Century Gothic" w:hAnsi="Century Gothic" w:cs="Times New Roman"/>
          <w:sz w:val="22"/>
        </w:rPr>
        <w:t xml:space="preserve">. </w:t>
      </w:r>
    </w:p>
    <w:p w14:paraId="3D07827B" w14:textId="77777777" w:rsidR="00B86A5F" w:rsidRPr="006858F7" w:rsidRDefault="00B86A5F" w:rsidP="00B86A5F">
      <w:pPr>
        <w:pStyle w:val="Ttulo1"/>
        <w:numPr>
          <w:ilvl w:val="0"/>
          <w:numId w:val="1"/>
        </w:numPr>
        <w:rPr>
          <w:rFonts w:ascii="Century Gothic" w:hAnsi="Century Gothic" w:cs="Times New Roman"/>
          <w:sz w:val="22"/>
        </w:rPr>
      </w:pPr>
      <w:r w:rsidRPr="006858F7">
        <w:rPr>
          <w:rFonts w:ascii="Century Gothic" w:hAnsi="Century Gothic" w:cs="Times New Roman"/>
          <w:sz w:val="22"/>
        </w:rPr>
        <w:t>PLIEGO DE MODIFICACIONES</w:t>
      </w:r>
    </w:p>
    <w:p w14:paraId="64256DD7" w14:textId="77777777" w:rsidR="00B86A5F" w:rsidRPr="006858F7" w:rsidRDefault="00B86A5F" w:rsidP="00B86A5F">
      <w:pPr>
        <w:spacing w:before="0" w:after="0"/>
        <w:rPr>
          <w:rFonts w:ascii="Century Gothic" w:hAnsi="Century Gothic" w:cs="Times New Roman"/>
          <w:sz w:val="22"/>
        </w:rPr>
      </w:pPr>
      <w:r w:rsidRPr="006858F7">
        <w:rPr>
          <w:rFonts w:ascii="Century Gothic" w:hAnsi="Century Gothic" w:cs="Times New Roman"/>
          <w:sz w:val="22"/>
        </w:rPr>
        <w:t xml:space="preserve">Después de analizar el texto de la iniciativa y las distintas </w:t>
      </w:r>
      <w:r w:rsidR="00AF2379" w:rsidRPr="006858F7">
        <w:rPr>
          <w:rFonts w:ascii="Century Gothic" w:hAnsi="Century Gothic" w:cs="Times New Roman"/>
          <w:sz w:val="22"/>
        </w:rPr>
        <w:t>proposiciones dejadas como constancia en el trámite</w:t>
      </w:r>
      <w:r w:rsidRPr="006858F7">
        <w:rPr>
          <w:rFonts w:ascii="Century Gothic" w:hAnsi="Century Gothic" w:cs="Times New Roman"/>
          <w:sz w:val="22"/>
        </w:rPr>
        <w:t xml:space="preserve">, en calidad de ponente presento el siguiente pliego de modificaciones. </w:t>
      </w:r>
    </w:p>
    <w:p w14:paraId="0AF3C40D" w14:textId="77777777" w:rsidR="00B86A5F" w:rsidRPr="006858F7" w:rsidRDefault="00B86A5F" w:rsidP="00B86A5F">
      <w:pPr>
        <w:spacing w:before="0" w:after="0"/>
        <w:rPr>
          <w:rFonts w:ascii="Century Gothic" w:hAnsi="Century Gothic" w:cs="Times New Roman"/>
          <w:sz w:val="22"/>
        </w:rPr>
      </w:pPr>
    </w:p>
    <w:tbl>
      <w:tblPr>
        <w:tblStyle w:val="Tablaconcuadrcula"/>
        <w:tblW w:w="5000" w:type="pct"/>
        <w:tblLook w:val="04A0" w:firstRow="1" w:lastRow="0" w:firstColumn="1" w:lastColumn="0" w:noHBand="0" w:noVBand="1"/>
      </w:tblPr>
      <w:tblGrid>
        <w:gridCol w:w="2944"/>
        <w:gridCol w:w="2943"/>
        <w:gridCol w:w="2941"/>
      </w:tblGrid>
      <w:tr w:rsidR="00F8685B" w:rsidRPr="006858F7" w14:paraId="706A8D5C" w14:textId="77777777" w:rsidTr="003C2097">
        <w:trPr>
          <w:tblHeader/>
        </w:trPr>
        <w:tc>
          <w:tcPr>
            <w:tcW w:w="1667" w:type="pct"/>
            <w:shd w:val="clear" w:color="auto" w:fill="D0CECE" w:themeFill="background2" w:themeFillShade="E6"/>
            <w:vAlign w:val="center"/>
          </w:tcPr>
          <w:p w14:paraId="44B4CC43" w14:textId="77777777" w:rsidR="00566AFF" w:rsidRPr="006858F7" w:rsidRDefault="00B86A5F" w:rsidP="00566AFF">
            <w:pPr>
              <w:pStyle w:val="Sinespaciado"/>
              <w:jc w:val="center"/>
              <w:rPr>
                <w:rFonts w:ascii="Century Gothic" w:hAnsi="Century Gothic" w:cs="Times New Roman"/>
                <w:b/>
                <w:sz w:val="20"/>
                <w:szCs w:val="20"/>
              </w:rPr>
            </w:pPr>
            <w:r w:rsidRPr="006858F7">
              <w:rPr>
                <w:rFonts w:ascii="Century Gothic" w:hAnsi="Century Gothic" w:cs="Times New Roman"/>
                <w:b/>
                <w:sz w:val="20"/>
                <w:szCs w:val="20"/>
              </w:rPr>
              <w:t xml:space="preserve">Texto aprobado en </w:t>
            </w:r>
            <w:r w:rsidR="00566AFF" w:rsidRPr="006858F7">
              <w:rPr>
                <w:rFonts w:ascii="Century Gothic" w:hAnsi="Century Gothic" w:cs="Times New Roman"/>
                <w:b/>
                <w:sz w:val="20"/>
                <w:szCs w:val="20"/>
              </w:rPr>
              <w:t>Comisión Primera de la Cámara de Representantes</w:t>
            </w:r>
          </w:p>
          <w:p w14:paraId="670D0040" w14:textId="77777777" w:rsidR="00B86A5F" w:rsidRPr="006858F7" w:rsidRDefault="00B86A5F" w:rsidP="00211AD9">
            <w:pPr>
              <w:pStyle w:val="Sinespaciado"/>
              <w:jc w:val="center"/>
              <w:rPr>
                <w:rFonts w:ascii="Century Gothic" w:hAnsi="Century Gothic" w:cs="Times New Roman"/>
                <w:sz w:val="20"/>
                <w:szCs w:val="20"/>
              </w:rPr>
            </w:pPr>
            <w:r w:rsidRPr="006858F7">
              <w:rPr>
                <w:rFonts w:ascii="Century Gothic" w:hAnsi="Century Gothic" w:cs="Times New Roman"/>
                <w:b/>
                <w:sz w:val="20"/>
                <w:szCs w:val="20"/>
              </w:rPr>
              <w:t xml:space="preserve">Proyecto de Ley </w:t>
            </w:r>
            <w:r w:rsidR="00211AD9" w:rsidRPr="006858F7">
              <w:rPr>
                <w:rFonts w:ascii="Century Gothic" w:hAnsi="Century Gothic" w:cs="Times New Roman"/>
                <w:b/>
                <w:sz w:val="20"/>
                <w:szCs w:val="20"/>
              </w:rPr>
              <w:t>201/18C - 139/17S</w:t>
            </w:r>
          </w:p>
        </w:tc>
        <w:tc>
          <w:tcPr>
            <w:tcW w:w="1667" w:type="pct"/>
            <w:shd w:val="clear" w:color="auto" w:fill="D0CECE" w:themeFill="background2" w:themeFillShade="E6"/>
            <w:vAlign w:val="center"/>
          </w:tcPr>
          <w:p w14:paraId="78CF9640" w14:textId="77777777" w:rsidR="007B50E2" w:rsidRPr="006858F7" w:rsidRDefault="00B86A5F" w:rsidP="007B50E2">
            <w:pPr>
              <w:pStyle w:val="Sinespaciado"/>
              <w:jc w:val="center"/>
              <w:rPr>
                <w:rFonts w:ascii="Century Gothic" w:hAnsi="Century Gothic" w:cs="Times New Roman"/>
                <w:b/>
                <w:sz w:val="20"/>
                <w:szCs w:val="20"/>
              </w:rPr>
            </w:pPr>
            <w:r w:rsidRPr="006858F7">
              <w:rPr>
                <w:rFonts w:ascii="Century Gothic" w:hAnsi="Century Gothic" w:cs="Times New Roman"/>
                <w:b/>
                <w:sz w:val="20"/>
                <w:szCs w:val="20"/>
              </w:rPr>
              <w:t xml:space="preserve">Propuesta texto para </w:t>
            </w:r>
            <w:r w:rsidR="000272BF" w:rsidRPr="006858F7">
              <w:rPr>
                <w:rFonts w:ascii="Century Gothic" w:hAnsi="Century Gothic" w:cs="Times New Roman"/>
                <w:b/>
                <w:sz w:val="20"/>
                <w:szCs w:val="20"/>
              </w:rPr>
              <w:t>segundo</w:t>
            </w:r>
            <w:r w:rsidR="007B50E2" w:rsidRPr="006858F7">
              <w:rPr>
                <w:rFonts w:ascii="Century Gothic" w:hAnsi="Century Gothic" w:cs="Times New Roman"/>
                <w:b/>
                <w:sz w:val="20"/>
                <w:szCs w:val="20"/>
              </w:rPr>
              <w:t xml:space="preserve"> debate </w:t>
            </w:r>
            <w:r w:rsidR="000272BF" w:rsidRPr="006858F7">
              <w:rPr>
                <w:rFonts w:ascii="Century Gothic" w:hAnsi="Century Gothic" w:cs="Times New Roman"/>
                <w:b/>
                <w:sz w:val="20"/>
                <w:szCs w:val="20"/>
              </w:rPr>
              <w:t>en Cámara de Representantes</w:t>
            </w:r>
          </w:p>
          <w:p w14:paraId="4EC410E2" w14:textId="77777777" w:rsidR="00B86A5F" w:rsidRPr="006858F7" w:rsidRDefault="00AB0FC2" w:rsidP="00BF72F3">
            <w:pPr>
              <w:pStyle w:val="Sinespaciado"/>
              <w:jc w:val="center"/>
              <w:rPr>
                <w:rFonts w:ascii="Century Gothic" w:hAnsi="Century Gothic" w:cs="Times New Roman"/>
                <w:b/>
                <w:sz w:val="20"/>
                <w:szCs w:val="20"/>
              </w:rPr>
            </w:pPr>
            <w:r w:rsidRPr="006858F7">
              <w:rPr>
                <w:rFonts w:ascii="Century Gothic" w:hAnsi="Century Gothic" w:cs="Times New Roman"/>
                <w:b/>
                <w:sz w:val="20"/>
                <w:szCs w:val="20"/>
              </w:rPr>
              <w:t>Proyecto de Ley 201/18C - 139/17S</w:t>
            </w:r>
          </w:p>
        </w:tc>
        <w:tc>
          <w:tcPr>
            <w:tcW w:w="1666" w:type="pct"/>
            <w:shd w:val="clear" w:color="auto" w:fill="D0CECE" w:themeFill="background2" w:themeFillShade="E6"/>
            <w:vAlign w:val="center"/>
          </w:tcPr>
          <w:p w14:paraId="52C87CDA" w14:textId="77777777" w:rsidR="00B86A5F" w:rsidRPr="006858F7" w:rsidRDefault="00B86A5F" w:rsidP="003C2097">
            <w:pPr>
              <w:pStyle w:val="Sinespaciado"/>
              <w:jc w:val="center"/>
              <w:rPr>
                <w:rFonts w:ascii="Century Gothic" w:hAnsi="Century Gothic" w:cs="Times New Roman"/>
                <w:b/>
                <w:sz w:val="20"/>
                <w:szCs w:val="20"/>
              </w:rPr>
            </w:pPr>
            <w:r w:rsidRPr="006858F7">
              <w:rPr>
                <w:rFonts w:ascii="Century Gothic" w:hAnsi="Century Gothic" w:cs="Times New Roman"/>
                <w:b/>
                <w:sz w:val="20"/>
                <w:szCs w:val="20"/>
              </w:rPr>
              <w:t xml:space="preserve">Justificación </w:t>
            </w:r>
          </w:p>
        </w:tc>
      </w:tr>
      <w:tr w:rsidR="00F8685B" w:rsidRPr="006858F7" w14:paraId="495F33AB" w14:textId="77777777" w:rsidTr="003C2097">
        <w:tc>
          <w:tcPr>
            <w:tcW w:w="1667" w:type="pct"/>
          </w:tcPr>
          <w:p w14:paraId="42BDFE47"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b/>
                <w:sz w:val="20"/>
                <w:szCs w:val="20"/>
              </w:rPr>
              <w:t>Artículo 1°.</w:t>
            </w:r>
            <w:r w:rsidRPr="006858F7">
              <w:rPr>
                <w:rFonts w:ascii="Century Gothic" w:hAnsi="Century Gothic" w:cs="Times New Roman"/>
                <w:sz w:val="20"/>
                <w:szCs w:val="20"/>
              </w:rPr>
              <w:t xml:space="preserve"> Modifíquese el artículo 229 de la Ley 559 de 2000, el cual quedará así:</w:t>
            </w:r>
          </w:p>
          <w:p w14:paraId="0DD0CD60" w14:textId="77777777" w:rsidR="00B23BBD" w:rsidRPr="006858F7" w:rsidRDefault="00B23BBD" w:rsidP="00B23BBD">
            <w:pPr>
              <w:pStyle w:val="Sinespaciado"/>
              <w:rPr>
                <w:rFonts w:ascii="Century Gothic" w:hAnsi="Century Gothic" w:cs="Times New Roman"/>
                <w:sz w:val="20"/>
                <w:szCs w:val="20"/>
              </w:rPr>
            </w:pPr>
          </w:p>
          <w:p w14:paraId="1E639EB7"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b/>
                <w:sz w:val="20"/>
                <w:szCs w:val="20"/>
              </w:rPr>
              <w:t>Artículo 229. Violencia intrafamiliar.</w:t>
            </w:r>
            <w:r w:rsidRPr="006858F7">
              <w:rPr>
                <w:rFonts w:ascii="Century Gothic" w:hAnsi="Century Gothic" w:cs="Times New Roman"/>
                <w:sz w:val="20"/>
                <w:szCs w:val="20"/>
              </w:rPr>
              <w:t xml:space="preserve"> El que maltrate física o psicológicamente a cualquier miembro de su núcleo familiar incurrirá, siempre que la conducta no constituya delito sancionado con pena mayor, en prisión de cuatro (4) a ocho (8) años.</w:t>
            </w:r>
          </w:p>
          <w:p w14:paraId="6ECC86DA" w14:textId="77777777" w:rsidR="00B23BBD" w:rsidRPr="006858F7" w:rsidRDefault="00B23BBD" w:rsidP="00B23BBD">
            <w:pPr>
              <w:pStyle w:val="Sinespaciado"/>
              <w:rPr>
                <w:rFonts w:ascii="Century Gothic" w:hAnsi="Century Gothic" w:cs="Times New Roman"/>
                <w:sz w:val="20"/>
                <w:szCs w:val="20"/>
              </w:rPr>
            </w:pPr>
          </w:p>
          <w:p w14:paraId="375E5820"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sz w:val="20"/>
                <w:szCs w:val="20"/>
              </w:rPr>
              <w:t>La pena se aumentará de la mitad a las tres cuartas partes cuando la conducta recaiga sobre un menor, adolescente, una mujer, una persona mayor de sesenta (60) años, o que se encuentre en incapacidad o disminución física, sensorial y psicológica o quien se encuentre en estado de indefensión o en cualquier condición de inferioridad.</w:t>
            </w:r>
          </w:p>
          <w:p w14:paraId="39679213" w14:textId="77777777" w:rsidR="00B23BBD" w:rsidRPr="006858F7" w:rsidRDefault="00B23BBD" w:rsidP="00B23BBD">
            <w:pPr>
              <w:pStyle w:val="Sinespaciado"/>
              <w:rPr>
                <w:rFonts w:ascii="Century Gothic" w:hAnsi="Century Gothic" w:cs="Times New Roman"/>
                <w:sz w:val="20"/>
                <w:szCs w:val="20"/>
              </w:rPr>
            </w:pPr>
          </w:p>
          <w:p w14:paraId="555BC38F" w14:textId="77777777" w:rsidR="00B23BBD" w:rsidRPr="006858F7" w:rsidRDefault="00B23BBD" w:rsidP="00B23BBD">
            <w:pPr>
              <w:pStyle w:val="Sinespaciado"/>
              <w:rPr>
                <w:rFonts w:ascii="Century Gothic" w:hAnsi="Century Gothic" w:cs="Times New Roman"/>
                <w:sz w:val="20"/>
                <w:szCs w:val="20"/>
                <w:u w:val="single"/>
              </w:rPr>
            </w:pPr>
            <w:r w:rsidRPr="006858F7">
              <w:rPr>
                <w:rFonts w:ascii="Century Gothic" w:hAnsi="Century Gothic" w:cs="Times New Roman"/>
                <w:sz w:val="20"/>
                <w:szCs w:val="20"/>
              </w:rPr>
              <w:t>Cuando el responsable tenga antecedentes penales por haber cometido alguno de los delitos previstos en el libro segundo, Títulos I y IV del Código Penal contra un miembro de su núcleo familiar, o cuando tenga antecedentes por el delito de violencia intrafamiliar, siempre que la condena hubiese sido proferida dentro de los diez (10) años anteriores a la ocurrencia del nuevo hecho, el sentenciador impondrá la pena dentro del cuarto máximo del ámbito punitivo de movilidad respectivo.</w:t>
            </w:r>
            <w:r w:rsidRPr="006858F7">
              <w:rPr>
                <w:rFonts w:ascii="Century Gothic" w:hAnsi="Century Gothic" w:cs="Times New Roman"/>
                <w:sz w:val="20"/>
                <w:szCs w:val="20"/>
                <w:u w:val="single"/>
              </w:rPr>
              <w:t xml:space="preserve"> </w:t>
            </w:r>
          </w:p>
          <w:p w14:paraId="3C6A2AED" w14:textId="77777777" w:rsidR="00B23BBD" w:rsidRPr="006858F7" w:rsidRDefault="00B23BBD" w:rsidP="00B23BBD">
            <w:pPr>
              <w:pStyle w:val="Sinespaciado"/>
              <w:rPr>
                <w:rFonts w:ascii="Century Gothic" w:hAnsi="Century Gothic" w:cs="Times New Roman"/>
                <w:sz w:val="20"/>
                <w:szCs w:val="20"/>
                <w:u w:val="single"/>
              </w:rPr>
            </w:pPr>
          </w:p>
          <w:p w14:paraId="4FFDA81A"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b/>
                <w:sz w:val="20"/>
                <w:szCs w:val="20"/>
              </w:rPr>
              <w:t>Parágrafo.</w:t>
            </w:r>
            <w:r w:rsidRPr="006858F7">
              <w:rPr>
                <w:rFonts w:ascii="Century Gothic" w:hAnsi="Century Gothic" w:cs="Times New Roman"/>
                <w:sz w:val="20"/>
                <w:szCs w:val="20"/>
              </w:rPr>
              <w:t xml:space="preserve"> A la misma pena quedará sometido quien realice alguna de las conductas descritas en el tipo penal previsto en este artículo contra:</w:t>
            </w:r>
          </w:p>
          <w:p w14:paraId="5126DDC3" w14:textId="77777777" w:rsidR="00B23BBD" w:rsidRPr="006858F7" w:rsidRDefault="00B23BBD" w:rsidP="00B23BBD">
            <w:pPr>
              <w:pStyle w:val="Sinespaciado"/>
              <w:rPr>
                <w:rFonts w:ascii="Century Gothic" w:hAnsi="Century Gothic" w:cs="Times New Roman"/>
                <w:sz w:val="20"/>
                <w:szCs w:val="20"/>
              </w:rPr>
            </w:pPr>
          </w:p>
          <w:p w14:paraId="5B166664"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sz w:val="20"/>
                <w:szCs w:val="20"/>
              </w:rPr>
              <w:t>a) Los cónyuges o compañeros permanentes, aunque se hubieren separado o divorciado;</w:t>
            </w:r>
          </w:p>
          <w:p w14:paraId="05630165" w14:textId="77777777" w:rsidR="00B23BBD" w:rsidRPr="006858F7" w:rsidRDefault="00B23BBD" w:rsidP="00B23BBD">
            <w:pPr>
              <w:pStyle w:val="Sinespaciado"/>
              <w:rPr>
                <w:rFonts w:ascii="Century Gothic" w:hAnsi="Century Gothic" w:cs="Times New Roman"/>
                <w:sz w:val="20"/>
                <w:szCs w:val="20"/>
              </w:rPr>
            </w:pPr>
          </w:p>
          <w:p w14:paraId="423924DB"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sz w:val="20"/>
                <w:szCs w:val="20"/>
              </w:rPr>
              <w:t>b) El padre y la madre de familia, aun cuando no convivan en el mismo hogar, si el maltrato se dirige contra el otro progenitor</w:t>
            </w:r>
          </w:p>
          <w:p w14:paraId="2547C2FF" w14:textId="77777777" w:rsidR="00B23BBD" w:rsidRPr="006858F7" w:rsidRDefault="00B23BBD" w:rsidP="00B23BBD">
            <w:pPr>
              <w:pStyle w:val="Sinespaciado"/>
              <w:rPr>
                <w:rFonts w:ascii="Century Gothic" w:hAnsi="Century Gothic" w:cs="Times New Roman"/>
                <w:sz w:val="20"/>
                <w:szCs w:val="20"/>
              </w:rPr>
            </w:pPr>
          </w:p>
          <w:p w14:paraId="4D107785"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sz w:val="20"/>
                <w:szCs w:val="20"/>
              </w:rPr>
              <w:t>c) Quien, no siendo miembro del núcleo familiar, sea encargado del cuidado de uno o varios miembros de una familia en su domicilio, residencia o cualquier lugar en el que se realice la conducta.</w:t>
            </w:r>
          </w:p>
          <w:p w14:paraId="0BC5FCB7" w14:textId="77777777" w:rsidR="00B23BBD" w:rsidRPr="006858F7" w:rsidRDefault="00B23BBD" w:rsidP="00B23BBD">
            <w:pPr>
              <w:pStyle w:val="Sinespaciado"/>
              <w:rPr>
                <w:rFonts w:ascii="Century Gothic" w:hAnsi="Century Gothic" w:cs="Times New Roman"/>
                <w:sz w:val="20"/>
                <w:szCs w:val="20"/>
              </w:rPr>
            </w:pPr>
          </w:p>
          <w:p w14:paraId="457CB253" w14:textId="77777777" w:rsidR="00B23BBD" w:rsidRPr="006858F7" w:rsidRDefault="00B23BBD" w:rsidP="00B23BBD">
            <w:pPr>
              <w:pStyle w:val="Sinespaciado"/>
              <w:rPr>
                <w:rFonts w:ascii="Century Gothic" w:hAnsi="Century Gothic" w:cs="Times New Roman"/>
                <w:sz w:val="20"/>
                <w:szCs w:val="20"/>
              </w:rPr>
            </w:pPr>
            <w:r w:rsidRPr="006858F7">
              <w:rPr>
                <w:rFonts w:ascii="Century Gothic" w:hAnsi="Century Gothic" w:cs="Times New Roman"/>
                <w:sz w:val="20"/>
                <w:szCs w:val="20"/>
              </w:rPr>
              <w:t>d) Las personas con las que se sostienen relaciones extramatrimoniales de carácter permanente que se caractericen por una clara e inequívoca vocación de estabilidad.</w:t>
            </w:r>
            <w:r w:rsidRPr="006858F7">
              <w:rPr>
                <w:rFonts w:ascii="Century Gothic" w:hAnsi="Century Gothic" w:cs="Times New Roman"/>
                <w:sz w:val="20"/>
                <w:szCs w:val="20"/>
                <w:lang w:eastAsia="es-CO"/>
              </w:rPr>
              <w:t xml:space="preserve"> </w:t>
            </w:r>
          </w:p>
        </w:tc>
        <w:tc>
          <w:tcPr>
            <w:tcW w:w="1667" w:type="pct"/>
          </w:tcPr>
          <w:p w14:paraId="5BD1FCAF" w14:textId="77777777" w:rsidR="00D91564" w:rsidRPr="006858F7" w:rsidRDefault="00D91564" w:rsidP="00D91564">
            <w:pPr>
              <w:pStyle w:val="Sinespaciado"/>
              <w:rPr>
                <w:rFonts w:ascii="Century Gothic" w:hAnsi="Century Gothic" w:cs="Times New Roman"/>
                <w:b/>
                <w:sz w:val="20"/>
                <w:szCs w:val="20"/>
              </w:rPr>
            </w:pPr>
          </w:p>
          <w:p w14:paraId="21D799F2" w14:textId="77777777" w:rsidR="00D91564" w:rsidRPr="006858F7" w:rsidRDefault="00D91564" w:rsidP="00D91564">
            <w:pPr>
              <w:pStyle w:val="Sinespaciado"/>
              <w:rPr>
                <w:rFonts w:ascii="Century Gothic" w:hAnsi="Century Gothic" w:cs="Times New Roman"/>
                <w:b/>
                <w:sz w:val="20"/>
                <w:szCs w:val="20"/>
              </w:rPr>
            </w:pPr>
          </w:p>
          <w:p w14:paraId="6739A09E" w14:textId="77777777" w:rsidR="00D91564" w:rsidRPr="006858F7" w:rsidRDefault="00D91564" w:rsidP="00D91564">
            <w:pPr>
              <w:pStyle w:val="Sinespaciado"/>
              <w:rPr>
                <w:rFonts w:ascii="Century Gothic" w:hAnsi="Century Gothic" w:cs="Times New Roman"/>
                <w:b/>
                <w:sz w:val="20"/>
                <w:szCs w:val="20"/>
              </w:rPr>
            </w:pPr>
          </w:p>
          <w:p w14:paraId="28D3C715" w14:textId="77777777" w:rsidR="00D91564" w:rsidRPr="006858F7" w:rsidRDefault="00D91564" w:rsidP="00D91564">
            <w:pPr>
              <w:pStyle w:val="Sinespaciado"/>
              <w:rPr>
                <w:rFonts w:ascii="Century Gothic" w:hAnsi="Century Gothic" w:cs="Times New Roman"/>
                <w:b/>
                <w:sz w:val="20"/>
                <w:szCs w:val="20"/>
              </w:rPr>
            </w:pPr>
          </w:p>
          <w:p w14:paraId="5F8949DE" w14:textId="77777777" w:rsidR="00D91564" w:rsidRPr="006858F7" w:rsidRDefault="00D91564" w:rsidP="00D91564">
            <w:pPr>
              <w:pStyle w:val="Sinespaciado"/>
              <w:rPr>
                <w:rFonts w:ascii="Century Gothic" w:hAnsi="Century Gothic" w:cs="Times New Roman"/>
                <w:b/>
                <w:sz w:val="20"/>
                <w:szCs w:val="20"/>
              </w:rPr>
            </w:pPr>
          </w:p>
          <w:p w14:paraId="30E3B04D" w14:textId="77777777" w:rsidR="00D91564" w:rsidRPr="006858F7" w:rsidRDefault="00D91564" w:rsidP="00D91564">
            <w:pPr>
              <w:pStyle w:val="Sinespaciado"/>
              <w:rPr>
                <w:rFonts w:ascii="Century Gothic" w:hAnsi="Century Gothic" w:cs="Times New Roman"/>
                <w:b/>
                <w:sz w:val="20"/>
                <w:szCs w:val="20"/>
              </w:rPr>
            </w:pPr>
          </w:p>
          <w:p w14:paraId="29EF4DF8" w14:textId="77777777" w:rsidR="00D91564" w:rsidRPr="006858F7" w:rsidRDefault="00D91564" w:rsidP="00D91564">
            <w:pPr>
              <w:pStyle w:val="Sinespaciado"/>
              <w:rPr>
                <w:rFonts w:ascii="Century Gothic" w:hAnsi="Century Gothic" w:cs="Times New Roman"/>
                <w:b/>
                <w:sz w:val="20"/>
                <w:szCs w:val="20"/>
              </w:rPr>
            </w:pPr>
          </w:p>
          <w:p w14:paraId="5C8EEE52" w14:textId="77777777" w:rsidR="00D91564" w:rsidRPr="006858F7" w:rsidRDefault="00D91564" w:rsidP="00D91564">
            <w:pPr>
              <w:pStyle w:val="Sinespaciado"/>
              <w:rPr>
                <w:rFonts w:ascii="Century Gothic" w:hAnsi="Century Gothic" w:cs="Times New Roman"/>
                <w:b/>
                <w:sz w:val="20"/>
                <w:szCs w:val="20"/>
              </w:rPr>
            </w:pPr>
          </w:p>
          <w:p w14:paraId="7259A7B6" w14:textId="77777777" w:rsidR="00D91564" w:rsidRPr="006858F7" w:rsidRDefault="00D91564" w:rsidP="00D91564">
            <w:pPr>
              <w:pStyle w:val="Sinespaciado"/>
              <w:rPr>
                <w:rFonts w:ascii="Century Gothic" w:hAnsi="Century Gothic" w:cs="Times New Roman"/>
                <w:b/>
                <w:sz w:val="20"/>
                <w:szCs w:val="20"/>
              </w:rPr>
            </w:pPr>
          </w:p>
          <w:p w14:paraId="7483EED8" w14:textId="77777777" w:rsidR="00D91564" w:rsidRPr="006858F7" w:rsidRDefault="00D91564" w:rsidP="00D91564">
            <w:pPr>
              <w:pStyle w:val="Sinespaciado"/>
              <w:rPr>
                <w:rFonts w:ascii="Century Gothic" w:hAnsi="Century Gothic" w:cs="Times New Roman"/>
                <w:b/>
                <w:sz w:val="20"/>
                <w:szCs w:val="20"/>
              </w:rPr>
            </w:pPr>
          </w:p>
          <w:p w14:paraId="046ECCE2" w14:textId="77777777" w:rsidR="00D91564" w:rsidRPr="006858F7" w:rsidRDefault="00D91564" w:rsidP="00D91564">
            <w:pPr>
              <w:pStyle w:val="Sinespaciado"/>
              <w:rPr>
                <w:rFonts w:ascii="Century Gothic" w:hAnsi="Century Gothic" w:cs="Times New Roman"/>
                <w:b/>
                <w:sz w:val="20"/>
                <w:szCs w:val="20"/>
              </w:rPr>
            </w:pPr>
          </w:p>
          <w:p w14:paraId="29B6A9AF" w14:textId="77777777" w:rsidR="00D91564" w:rsidRPr="006858F7" w:rsidRDefault="00D91564" w:rsidP="00D91564">
            <w:pPr>
              <w:pStyle w:val="Sinespaciado"/>
              <w:rPr>
                <w:rFonts w:ascii="Century Gothic" w:hAnsi="Century Gothic" w:cs="Times New Roman"/>
                <w:b/>
                <w:sz w:val="20"/>
                <w:szCs w:val="20"/>
              </w:rPr>
            </w:pPr>
          </w:p>
          <w:p w14:paraId="5F985F29" w14:textId="77777777" w:rsidR="00D91564" w:rsidRDefault="00D91564" w:rsidP="00D91564">
            <w:pPr>
              <w:pStyle w:val="Sinespaciado"/>
              <w:rPr>
                <w:rFonts w:ascii="Century Gothic" w:hAnsi="Century Gothic" w:cs="Times New Roman"/>
                <w:b/>
                <w:sz w:val="20"/>
                <w:szCs w:val="20"/>
              </w:rPr>
            </w:pPr>
          </w:p>
          <w:p w14:paraId="4F4D7487" w14:textId="77777777" w:rsidR="006B16EA" w:rsidRDefault="006B16EA" w:rsidP="00D91564">
            <w:pPr>
              <w:pStyle w:val="Sinespaciado"/>
              <w:rPr>
                <w:rFonts w:ascii="Century Gothic" w:hAnsi="Century Gothic" w:cs="Times New Roman"/>
                <w:b/>
                <w:sz w:val="20"/>
                <w:szCs w:val="20"/>
              </w:rPr>
            </w:pPr>
          </w:p>
          <w:p w14:paraId="697C4877" w14:textId="77777777" w:rsidR="006B16EA" w:rsidRDefault="006B16EA" w:rsidP="00D91564">
            <w:pPr>
              <w:pStyle w:val="Sinespaciado"/>
              <w:rPr>
                <w:rFonts w:ascii="Century Gothic" w:hAnsi="Century Gothic" w:cs="Times New Roman"/>
                <w:b/>
                <w:sz w:val="20"/>
                <w:szCs w:val="20"/>
              </w:rPr>
            </w:pPr>
          </w:p>
          <w:p w14:paraId="5FF4ECDF" w14:textId="77777777" w:rsidR="006B16EA" w:rsidRDefault="006B16EA" w:rsidP="00D91564">
            <w:pPr>
              <w:pStyle w:val="Sinespaciado"/>
              <w:rPr>
                <w:rFonts w:ascii="Century Gothic" w:hAnsi="Century Gothic" w:cs="Times New Roman"/>
                <w:b/>
                <w:sz w:val="20"/>
                <w:szCs w:val="20"/>
              </w:rPr>
            </w:pPr>
          </w:p>
          <w:p w14:paraId="52301994" w14:textId="77777777" w:rsidR="006B16EA" w:rsidRDefault="006B16EA" w:rsidP="00D91564">
            <w:pPr>
              <w:pStyle w:val="Sinespaciado"/>
              <w:rPr>
                <w:rFonts w:ascii="Century Gothic" w:hAnsi="Century Gothic" w:cs="Times New Roman"/>
                <w:b/>
                <w:sz w:val="20"/>
                <w:szCs w:val="20"/>
              </w:rPr>
            </w:pPr>
          </w:p>
          <w:p w14:paraId="1A521231" w14:textId="77777777" w:rsidR="006B16EA" w:rsidRDefault="006B16EA" w:rsidP="00D91564">
            <w:pPr>
              <w:pStyle w:val="Sinespaciado"/>
              <w:rPr>
                <w:rFonts w:ascii="Century Gothic" w:hAnsi="Century Gothic" w:cs="Times New Roman"/>
                <w:b/>
                <w:sz w:val="20"/>
                <w:szCs w:val="20"/>
              </w:rPr>
            </w:pPr>
          </w:p>
          <w:p w14:paraId="5990A9F5" w14:textId="77777777" w:rsidR="006B16EA" w:rsidRDefault="006B16EA" w:rsidP="00D91564">
            <w:pPr>
              <w:pStyle w:val="Sinespaciado"/>
              <w:rPr>
                <w:rFonts w:ascii="Century Gothic" w:hAnsi="Century Gothic" w:cs="Times New Roman"/>
                <w:b/>
                <w:sz w:val="20"/>
                <w:szCs w:val="20"/>
              </w:rPr>
            </w:pPr>
          </w:p>
          <w:p w14:paraId="738797C2" w14:textId="77777777" w:rsidR="006A6FC2" w:rsidRPr="006858F7" w:rsidRDefault="006A6FC2" w:rsidP="00D91564">
            <w:pPr>
              <w:pStyle w:val="Sinespaciado"/>
              <w:rPr>
                <w:rFonts w:ascii="Century Gothic" w:hAnsi="Century Gothic" w:cs="Times New Roman"/>
                <w:b/>
                <w:sz w:val="20"/>
                <w:szCs w:val="20"/>
              </w:rPr>
            </w:pPr>
          </w:p>
          <w:p w14:paraId="33D5F4F3" w14:textId="77777777" w:rsidR="00B23BBD" w:rsidRPr="006858F7" w:rsidRDefault="00D91564" w:rsidP="00D91564">
            <w:pPr>
              <w:pStyle w:val="Sinespaciado"/>
              <w:rPr>
                <w:rFonts w:ascii="Century Gothic" w:hAnsi="Century Gothic" w:cs="Times New Roman"/>
                <w:b/>
                <w:sz w:val="20"/>
                <w:szCs w:val="20"/>
              </w:rPr>
            </w:pPr>
            <w:r w:rsidRPr="006858F7">
              <w:rPr>
                <w:rFonts w:ascii="Century Gothic" w:hAnsi="Century Gothic" w:cs="Times New Roman"/>
                <w:b/>
                <w:sz w:val="20"/>
                <w:szCs w:val="20"/>
              </w:rPr>
              <w:t>Se propone el mismo texto aprobado en Comisión Primera de la Cámara de Representantes</w:t>
            </w:r>
          </w:p>
        </w:tc>
        <w:tc>
          <w:tcPr>
            <w:tcW w:w="1666" w:type="pct"/>
            <w:vAlign w:val="center"/>
          </w:tcPr>
          <w:p w14:paraId="7CC5BFE2" w14:textId="77777777" w:rsidR="00B23BBD" w:rsidRPr="006858F7" w:rsidRDefault="00D91564" w:rsidP="00B23BBD">
            <w:pPr>
              <w:pStyle w:val="Sinespaciado"/>
              <w:rPr>
                <w:rFonts w:ascii="Century Gothic" w:hAnsi="Century Gothic" w:cs="Times New Roman"/>
                <w:sz w:val="20"/>
                <w:szCs w:val="20"/>
                <w:lang w:eastAsia="es-CO"/>
              </w:rPr>
            </w:pPr>
            <w:r w:rsidRPr="006858F7">
              <w:rPr>
                <w:rFonts w:ascii="Century Gothic" w:hAnsi="Century Gothic" w:cs="Times New Roman"/>
                <w:b/>
                <w:sz w:val="20"/>
                <w:szCs w:val="20"/>
              </w:rPr>
              <w:t xml:space="preserve">Se propone el mismo texto aprobado </w:t>
            </w:r>
            <w:r w:rsidR="00E63269" w:rsidRPr="006858F7">
              <w:rPr>
                <w:rFonts w:ascii="Century Gothic" w:hAnsi="Century Gothic" w:cs="Times New Roman"/>
                <w:b/>
                <w:sz w:val="20"/>
                <w:szCs w:val="20"/>
              </w:rPr>
              <w:t>en Comisión Primera de la Cámara de Representantes</w:t>
            </w:r>
          </w:p>
        </w:tc>
      </w:tr>
      <w:tr w:rsidR="00F8685B" w:rsidRPr="006858F7" w14:paraId="085F8320" w14:textId="77777777" w:rsidTr="0027406C">
        <w:tc>
          <w:tcPr>
            <w:tcW w:w="1667" w:type="pct"/>
          </w:tcPr>
          <w:p w14:paraId="644DF69E"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Artículo 2°.</w:t>
            </w:r>
            <w:r w:rsidRPr="006858F7">
              <w:rPr>
                <w:rFonts w:ascii="Century Gothic" w:hAnsi="Century Gothic" w:cs="Times New Roman"/>
                <w:sz w:val="20"/>
                <w:szCs w:val="20"/>
              </w:rPr>
              <w:t xml:space="preserve"> Modifíquese el parágrafo del artículo 149 de la Ley 906 de 2004, el cual quedará así:</w:t>
            </w:r>
          </w:p>
          <w:p w14:paraId="1DFB00E3" w14:textId="77777777" w:rsidR="00AC73FF" w:rsidRPr="006858F7" w:rsidRDefault="00AC73FF" w:rsidP="00AC73FF">
            <w:pPr>
              <w:pStyle w:val="Sinespaciado"/>
              <w:rPr>
                <w:rFonts w:ascii="Century Gothic" w:hAnsi="Century Gothic" w:cs="Times New Roman"/>
                <w:sz w:val="20"/>
                <w:szCs w:val="20"/>
              </w:rPr>
            </w:pPr>
          </w:p>
          <w:p w14:paraId="415DD71C"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w:t>
            </w:r>
            <w:r w:rsidRPr="006858F7">
              <w:rPr>
                <w:rFonts w:ascii="Century Gothic" w:hAnsi="Century Gothic" w:cs="Times New Roman"/>
                <w:sz w:val="20"/>
                <w:szCs w:val="20"/>
              </w:rPr>
              <w:t xml:space="preserve"> En las actuaciones procesales relativas a los delitos contra la libertad y formación sexual, violencia sexual y violencia intrafamiliar,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tc>
        <w:tc>
          <w:tcPr>
            <w:tcW w:w="1667" w:type="pct"/>
          </w:tcPr>
          <w:p w14:paraId="4812346C"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Artículo 2°.</w:t>
            </w:r>
            <w:r w:rsidRPr="006858F7">
              <w:rPr>
                <w:rFonts w:ascii="Century Gothic" w:hAnsi="Century Gothic" w:cs="Times New Roman"/>
                <w:sz w:val="20"/>
                <w:szCs w:val="20"/>
              </w:rPr>
              <w:t xml:space="preserve"> Modifíquese el parágrafo del artículo 149 de la Ley 906 de 2004, el cual quedará así:</w:t>
            </w:r>
          </w:p>
          <w:p w14:paraId="7D71F89C" w14:textId="77777777" w:rsidR="00AC73FF" w:rsidRPr="006858F7" w:rsidRDefault="00AC73FF" w:rsidP="00AC73FF">
            <w:pPr>
              <w:pStyle w:val="Sinespaciado"/>
              <w:rPr>
                <w:rFonts w:ascii="Century Gothic" w:hAnsi="Century Gothic" w:cs="Times New Roman"/>
                <w:sz w:val="20"/>
                <w:szCs w:val="20"/>
              </w:rPr>
            </w:pPr>
          </w:p>
          <w:p w14:paraId="185B6FA9"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w:t>
            </w:r>
            <w:r w:rsidRPr="006858F7">
              <w:rPr>
                <w:rFonts w:ascii="Century Gothic" w:hAnsi="Century Gothic" w:cs="Times New Roman"/>
                <w:sz w:val="20"/>
                <w:szCs w:val="20"/>
              </w:rPr>
              <w:t xml:space="preserve"> En las actuaciones procesales relativas a los delitos contra la libertad y formación sexual, violencia sexual y violencia intrafamiliar,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w:t>
            </w:r>
            <w:r w:rsidRPr="006858F7">
              <w:rPr>
                <w:rFonts w:ascii="Century Gothic" w:hAnsi="Century Gothic" w:cs="Times New Roman"/>
                <w:strike/>
                <w:sz w:val="20"/>
                <w:szCs w:val="20"/>
              </w:rPr>
              <w:t>sus</w:t>
            </w:r>
            <w:r w:rsidRPr="006858F7">
              <w:rPr>
                <w:rFonts w:ascii="Century Gothic" w:hAnsi="Century Gothic" w:cs="Times New Roman"/>
                <w:sz w:val="20"/>
                <w:szCs w:val="20"/>
              </w:rPr>
              <w:t xml:space="preserve"> </w:t>
            </w:r>
            <w:r w:rsidRPr="006858F7">
              <w:rPr>
                <w:rFonts w:ascii="Century Gothic" w:hAnsi="Century Gothic" w:cs="Times New Roman"/>
                <w:b/>
                <w:sz w:val="20"/>
                <w:szCs w:val="20"/>
              </w:rPr>
              <w:t>los</w:t>
            </w:r>
            <w:r w:rsidRPr="006858F7">
              <w:rPr>
                <w:rFonts w:ascii="Century Gothic" w:hAnsi="Century Gothic" w:cs="Times New Roman"/>
                <w:sz w:val="20"/>
                <w:szCs w:val="20"/>
              </w:rPr>
              <w:t xml:space="preserve"> datos personales </w:t>
            </w:r>
            <w:r w:rsidR="004517A8" w:rsidRPr="006858F7">
              <w:rPr>
                <w:rFonts w:ascii="Century Gothic" w:hAnsi="Century Gothic" w:cs="Times New Roman"/>
                <w:b/>
                <w:sz w:val="20"/>
                <w:szCs w:val="20"/>
              </w:rPr>
              <w:t>de la víctima</w:t>
            </w:r>
            <w:r w:rsidRPr="006858F7">
              <w:rPr>
                <w:rFonts w:ascii="Century Gothic" w:hAnsi="Century Gothic" w:cs="Times New Roman"/>
                <w:sz w:val="20"/>
                <w:szCs w:val="20"/>
              </w:rPr>
              <w:t>, los de sus descendientes y los de cualquier otra persona que esté bajo su guarda o custodia.</w:t>
            </w:r>
          </w:p>
        </w:tc>
        <w:tc>
          <w:tcPr>
            <w:tcW w:w="1666" w:type="pct"/>
            <w:vAlign w:val="center"/>
          </w:tcPr>
          <w:p w14:paraId="06D76AF5" w14:textId="77777777" w:rsidR="00EF5546" w:rsidRPr="006858F7" w:rsidRDefault="00A002DA" w:rsidP="006426C1">
            <w:pPr>
              <w:pStyle w:val="Sinespaciado"/>
              <w:rPr>
                <w:rFonts w:ascii="Century Gothic" w:hAnsi="Century Gothic" w:cs="Times New Roman"/>
                <w:sz w:val="20"/>
                <w:szCs w:val="20"/>
              </w:rPr>
            </w:pPr>
            <w:r w:rsidRPr="006858F7">
              <w:rPr>
                <w:rFonts w:ascii="Century Gothic" w:hAnsi="Century Gothic" w:cs="Times New Roman"/>
                <w:sz w:val="20"/>
                <w:szCs w:val="20"/>
              </w:rPr>
              <w:t xml:space="preserve">Uno de los pilares del procedimiento penal es la publicidad de las actuaciones que en </w:t>
            </w:r>
            <w:r w:rsidR="00D92841" w:rsidRPr="006858F7">
              <w:rPr>
                <w:rFonts w:ascii="Century Gothic" w:hAnsi="Century Gothic" w:cs="Times New Roman"/>
                <w:sz w:val="20"/>
                <w:szCs w:val="20"/>
              </w:rPr>
              <w:t>él</w:t>
            </w:r>
            <w:r w:rsidRPr="006858F7">
              <w:rPr>
                <w:rFonts w:ascii="Century Gothic" w:hAnsi="Century Gothic" w:cs="Times New Roman"/>
                <w:sz w:val="20"/>
                <w:szCs w:val="20"/>
              </w:rPr>
              <w:t xml:space="preserve"> se </w:t>
            </w:r>
            <w:r w:rsidR="00A94C1C" w:rsidRPr="006858F7">
              <w:rPr>
                <w:rFonts w:ascii="Century Gothic" w:hAnsi="Century Gothic" w:cs="Times New Roman"/>
                <w:sz w:val="20"/>
                <w:szCs w:val="20"/>
              </w:rPr>
              <w:t>adelanten</w:t>
            </w:r>
            <w:r w:rsidRPr="006858F7">
              <w:rPr>
                <w:rFonts w:ascii="Century Gothic" w:hAnsi="Century Gothic" w:cs="Times New Roman"/>
                <w:sz w:val="20"/>
                <w:szCs w:val="20"/>
              </w:rPr>
              <w:t xml:space="preserve">. </w:t>
            </w:r>
            <w:r w:rsidR="00101CC5" w:rsidRPr="006858F7">
              <w:rPr>
                <w:rFonts w:ascii="Century Gothic" w:hAnsi="Century Gothic" w:cs="Times New Roman"/>
                <w:sz w:val="20"/>
                <w:szCs w:val="20"/>
              </w:rPr>
              <w:t xml:space="preserve">De conformidad con la legislación actual, la publicidad del procedimiento solo puede ser limitada con ocasión del principio de necesidad. </w:t>
            </w:r>
          </w:p>
          <w:p w14:paraId="112EF433" w14:textId="77777777" w:rsidR="00A40E89" w:rsidRPr="006858F7" w:rsidRDefault="00FD0C08" w:rsidP="006426C1">
            <w:pPr>
              <w:pStyle w:val="Sinespaciado"/>
              <w:rPr>
                <w:rFonts w:ascii="Century Gothic" w:hAnsi="Century Gothic" w:cs="Times New Roman"/>
                <w:sz w:val="20"/>
                <w:szCs w:val="20"/>
              </w:rPr>
            </w:pPr>
            <w:r w:rsidRPr="006858F7">
              <w:rPr>
                <w:rFonts w:ascii="Century Gothic" w:hAnsi="Century Gothic" w:cs="Times New Roman"/>
                <w:sz w:val="20"/>
                <w:szCs w:val="20"/>
              </w:rPr>
              <w:t>E</w:t>
            </w:r>
            <w:r w:rsidR="0061351C" w:rsidRPr="006858F7">
              <w:rPr>
                <w:rFonts w:ascii="Century Gothic" w:hAnsi="Century Gothic" w:cs="Times New Roman"/>
                <w:sz w:val="20"/>
                <w:szCs w:val="20"/>
              </w:rPr>
              <w:t xml:space="preserve">l fenómeno de la </w:t>
            </w:r>
            <w:r w:rsidRPr="006858F7">
              <w:rPr>
                <w:rFonts w:ascii="Century Gothic" w:hAnsi="Century Gothic" w:cs="Times New Roman"/>
                <w:sz w:val="20"/>
                <w:szCs w:val="20"/>
              </w:rPr>
              <w:t xml:space="preserve">violencia intrafamiliar </w:t>
            </w:r>
            <w:r w:rsidR="0061351C" w:rsidRPr="006858F7">
              <w:rPr>
                <w:rFonts w:ascii="Century Gothic" w:hAnsi="Century Gothic" w:cs="Times New Roman"/>
                <w:sz w:val="20"/>
                <w:szCs w:val="20"/>
              </w:rPr>
              <w:t xml:space="preserve">no está relacionado con un episodio de agresión </w:t>
            </w:r>
            <w:r w:rsidRPr="006858F7">
              <w:rPr>
                <w:rFonts w:ascii="Century Gothic" w:hAnsi="Century Gothic" w:cs="Times New Roman"/>
                <w:sz w:val="20"/>
                <w:szCs w:val="20"/>
              </w:rPr>
              <w:t>en contra de su integridad personal</w:t>
            </w:r>
            <w:r w:rsidR="0061351C" w:rsidRPr="006858F7">
              <w:rPr>
                <w:rFonts w:ascii="Century Gothic" w:hAnsi="Century Gothic" w:cs="Times New Roman"/>
                <w:sz w:val="20"/>
                <w:szCs w:val="20"/>
              </w:rPr>
              <w:t xml:space="preserve">, sino que hace parte de un ciclo de violencia </w:t>
            </w:r>
            <w:r w:rsidR="000A1621" w:rsidRPr="006858F7">
              <w:rPr>
                <w:rFonts w:ascii="Century Gothic" w:hAnsi="Century Gothic" w:cs="Times New Roman"/>
                <w:sz w:val="20"/>
                <w:szCs w:val="20"/>
              </w:rPr>
              <w:t xml:space="preserve">que puede extenderse </w:t>
            </w:r>
            <w:r w:rsidR="002F354F" w:rsidRPr="006858F7">
              <w:rPr>
                <w:rFonts w:ascii="Century Gothic" w:hAnsi="Century Gothic" w:cs="Times New Roman"/>
                <w:sz w:val="20"/>
                <w:szCs w:val="20"/>
              </w:rPr>
              <w:t xml:space="preserve">en el tiempo </w:t>
            </w:r>
            <w:r w:rsidR="00D360A2" w:rsidRPr="006858F7">
              <w:rPr>
                <w:rFonts w:ascii="Century Gothic" w:hAnsi="Century Gothic" w:cs="Times New Roman"/>
                <w:sz w:val="20"/>
                <w:szCs w:val="20"/>
              </w:rPr>
              <w:t>aún después de la efectiva judicialización de la conducta. Adicionalmente, estas conductas tienen</w:t>
            </w:r>
            <w:r w:rsidRPr="006858F7">
              <w:rPr>
                <w:rFonts w:ascii="Century Gothic" w:hAnsi="Century Gothic" w:cs="Times New Roman"/>
                <w:sz w:val="20"/>
                <w:szCs w:val="20"/>
              </w:rPr>
              <w:t xml:space="preserve"> un gran impacto en </w:t>
            </w:r>
            <w:r w:rsidR="00D360A2" w:rsidRPr="006858F7">
              <w:rPr>
                <w:rFonts w:ascii="Century Gothic" w:hAnsi="Century Gothic" w:cs="Times New Roman"/>
                <w:sz w:val="20"/>
                <w:szCs w:val="20"/>
              </w:rPr>
              <w:t>la</w:t>
            </w:r>
            <w:r w:rsidR="00DE6966" w:rsidRPr="006858F7">
              <w:rPr>
                <w:rFonts w:ascii="Century Gothic" w:hAnsi="Century Gothic" w:cs="Times New Roman"/>
                <w:sz w:val="20"/>
                <w:szCs w:val="20"/>
              </w:rPr>
              <w:t xml:space="preserve"> </w:t>
            </w:r>
            <w:r w:rsidR="00EA46E7" w:rsidRPr="006858F7">
              <w:rPr>
                <w:rFonts w:ascii="Century Gothic" w:hAnsi="Century Gothic" w:cs="Times New Roman"/>
                <w:sz w:val="20"/>
                <w:szCs w:val="20"/>
              </w:rPr>
              <w:t>intimidad personal y familiar</w:t>
            </w:r>
            <w:r w:rsidR="002010AB" w:rsidRPr="006858F7">
              <w:rPr>
                <w:rFonts w:ascii="Century Gothic" w:hAnsi="Century Gothic" w:cs="Times New Roman"/>
                <w:sz w:val="20"/>
                <w:szCs w:val="20"/>
              </w:rPr>
              <w:t xml:space="preserve"> de las víctimas, al</w:t>
            </w:r>
            <w:r w:rsidR="0000099F" w:rsidRPr="006858F7">
              <w:rPr>
                <w:rFonts w:ascii="Century Gothic" w:hAnsi="Century Gothic" w:cs="Times New Roman"/>
                <w:sz w:val="20"/>
                <w:szCs w:val="20"/>
              </w:rPr>
              <w:t xml:space="preserve"> punto que la publicidad de </w:t>
            </w:r>
            <w:r w:rsidR="00845D3A" w:rsidRPr="006858F7">
              <w:rPr>
                <w:rFonts w:ascii="Century Gothic" w:hAnsi="Century Gothic" w:cs="Times New Roman"/>
                <w:sz w:val="20"/>
                <w:szCs w:val="20"/>
              </w:rPr>
              <w:t xml:space="preserve">los hechos a los que fueron sometidas </w:t>
            </w:r>
            <w:r w:rsidR="00682C52" w:rsidRPr="006858F7">
              <w:rPr>
                <w:rFonts w:ascii="Century Gothic" w:hAnsi="Century Gothic" w:cs="Times New Roman"/>
                <w:sz w:val="20"/>
                <w:szCs w:val="20"/>
              </w:rPr>
              <w:t xml:space="preserve">puede vulnerar </w:t>
            </w:r>
            <w:r w:rsidR="00A40E89" w:rsidRPr="006858F7">
              <w:rPr>
                <w:rFonts w:ascii="Century Gothic" w:hAnsi="Century Gothic" w:cs="Times New Roman"/>
                <w:sz w:val="20"/>
                <w:szCs w:val="20"/>
              </w:rPr>
              <w:t>su</w:t>
            </w:r>
            <w:r w:rsidR="00682C52" w:rsidRPr="006858F7">
              <w:rPr>
                <w:rFonts w:ascii="Century Gothic" w:hAnsi="Century Gothic" w:cs="Times New Roman"/>
                <w:sz w:val="20"/>
                <w:szCs w:val="20"/>
              </w:rPr>
              <w:t xml:space="preserve"> </w:t>
            </w:r>
            <w:r w:rsidR="00A40E89" w:rsidRPr="006858F7">
              <w:rPr>
                <w:rFonts w:ascii="Century Gothic" w:hAnsi="Century Gothic" w:cs="Times New Roman"/>
                <w:sz w:val="20"/>
                <w:szCs w:val="20"/>
              </w:rPr>
              <w:t xml:space="preserve">derecho </w:t>
            </w:r>
            <w:r w:rsidR="00682C52" w:rsidRPr="006858F7">
              <w:rPr>
                <w:rFonts w:ascii="Century Gothic" w:hAnsi="Century Gothic" w:cs="Times New Roman"/>
                <w:sz w:val="20"/>
                <w:szCs w:val="20"/>
              </w:rPr>
              <w:t xml:space="preserve">a mantener </w:t>
            </w:r>
            <w:r w:rsidR="008435C7" w:rsidRPr="006858F7">
              <w:rPr>
                <w:rFonts w:ascii="Century Gothic" w:hAnsi="Century Gothic" w:cs="Times New Roman"/>
                <w:sz w:val="20"/>
                <w:szCs w:val="20"/>
              </w:rPr>
              <w:t>el ámbito privado de sus vidas fuera del conocimiento e injerencia del público</w:t>
            </w:r>
            <w:r w:rsidR="002046EC" w:rsidRPr="006858F7">
              <w:rPr>
                <w:rStyle w:val="Refdenotaalpie"/>
                <w:rFonts w:ascii="Century Gothic" w:hAnsi="Century Gothic" w:cs="Times New Roman"/>
                <w:sz w:val="20"/>
                <w:szCs w:val="20"/>
              </w:rPr>
              <w:footnoteReference w:id="24"/>
            </w:r>
            <w:r w:rsidR="008435C7" w:rsidRPr="006858F7">
              <w:rPr>
                <w:rFonts w:ascii="Century Gothic" w:hAnsi="Century Gothic" w:cs="Times New Roman"/>
                <w:sz w:val="20"/>
                <w:szCs w:val="20"/>
              </w:rPr>
              <w:t xml:space="preserve">. </w:t>
            </w:r>
            <w:r w:rsidR="00A40E89" w:rsidRPr="006858F7">
              <w:rPr>
                <w:rFonts w:ascii="Century Gothic" w:hAnsi="Century Gothic" w:cs="Times New Roman"/>
                <w:sz w:val="20"/>
                <w:szCs w:val="20"/>
              </w:rPr>
              <w:t xml:space="preserve">En consecuencia, es necesario dotar de </w:t>
            </w:r>
            <w:r w:rsidR="008C19F1" w:rsidRPr="006858F7">
              <w:rPr>
                <w:rFonts w:ascii="Century Gothic" w:hAnsi="Century Gothic" w:cs="Times New Roman"/>
                <w:sz w:val="20"/>
                <w:szCs w:val="20"/>
              </w:rPr>
              <w:t xml:space="preserve">facultades </w:t>
            </w:r>
            <w:r w:rsidR="00BF419B" w:rsidRPr="006858F7">
              <w:rPr>
                <w:rFonts w:ascii="Century Gothic" w:hAnsi="Century Gothic" w:cs="Times New Roman"/>
                <w:sz w:val="20"/>
                <w:szCs w:val="20"/>
              </w:rPr>
              <w:t xml:space="preserve">al juez para que pueda imponer la reserva de los datos de las víctimas de estos delitos, cuando </w:t>
            </w:r>
            <w:r w:rsidR="004124D0" w:rsidRPr="006858F7">
              <w:rPr>
                <w:rFonts w:ascii="Century Gothic" w:hAnsi="Century Gothic" w:cs="Times New Roman"/>
                <w:sz w:val="20"/>
                <w:szCs w:val="20"/>
              </w:rPr>
              <w:t>así</w:t>
            </w:r>
            <w:r w:rsidR="00BF419B" w:rsidRPr="006858F7">
              <w:rPr>
                <w:rFonts w:ascii="Century Gothic" w:hAnsi="Century Gothic" w:cs="Times New Roman"/>
                <w:sz w:val="20"/>
                <w:szCs w:val="20"/>
              </w:rPr>
              <w:t xml:space="preserve"> lo solicite cualquiera de los </w:t>
            </w:r>
            <w:r w:rsidR="004124D0" w:rsidRPr="006858F7">
              <w:rPr>
                <w:rFonts w:ascii="Century Gothic" w:hAnsi="Century Gothic" w:cs="Times New Roman"/>
                <w:sz w:val="20"/>
                <w:szCs w:val="20"/>
              </w:rPr>
              <w:t>intervinientes</w:t>
            </w:r>
            <w:r w:rsidR="00BF419B" w:rsidRPr="006858F7">
              <w:rPr>
                <w:rFonts w:ascii="Century Gothic" w:hAnsi="Century Gothic" w:cs="Times New Roman"/>
                <w:sz w:val="20"/>
                <w:szCs w:val="20"/>
              </w:rPr>
              <w:t xml:space="preserve">. </w:t>
            </w:r>
          </w:p>
          <w:p w14:paraId="515B0F09" w14:textId="77777777" w:rsidR="004124D0" w:rsidRPr="006858F7" w:rsidRDefault="004124D0" w:rsidP="006426C1">
            <w:pPr>
              <w:pStyle w:val="Sinespaciado"/>
              <w:rPr>
                <w:rFonts w:ascii="Century Gothic" w:hAnsi="Century Gothic" w:cs="Times New Roman"/>
                <w:sz w:val="20"/>
                <w:szCs w:val="20"/>
              </w:rPr>
            </w:pPr>
          </w:p>
          <w:p w14:paraId="2D5CA330" w14:textId="6CAC333D" w:rsidR="004124D0" w:rsidRPr="006858F7" w:rsidRDefault="004124D0" w:rsidP="004124D0">
            <w:pPr>
              <w:pStyle w:val="Sinespaciado"/>
              <w:rPr>
                <w:rFonts w:ascii="Century Gothic" w:hAnsi="Century Gothic" w:cs="Times New Roman"/>
                <w:sz w:val="20"/>
                <w:szCs w:val="20"/>
              </w:rPr>
            </w:pPr>
            <w:r w:rsidRPr="006858F7">
              <w:rPr>
                <w:rFonts w:ascii="Century Gothic" w:hAnsi="Century Gothic" w:cs="Times New Roman"/>
                <w:sz w:val="20"/>
                <w:szCs w:val="20"/>
              </w:rPr>
              <w:t>Ahora bien, tal como fue aprobado</w:t>
            </w:r>
            <w:r w:rsidR="006209B0" w:rsidRPr="006858F7">
              <w:rPr>
                <w:rFonts w:ascii="Century Gothic" w:hAnsi="Century Gothic" w:cs="Times New Roman"/>
                <w:sz w:val="20"/>
                <w:szCs w:val="20"/>
              </w:rPr>
              <w:t xml:space="preserve"> el texto de es</w:t>
            </w:r>
            <w:r w:rsidR="00A00E19" w:rsidRPr="006858F7">
              <w:rPr>
                <w:rFonts w:ascii="Century Gothic" w:hAnsi="Century Gothic" w:cs="Times New Roman"/>
                <w:sz w:val="20"/>
                <w:szCs w:val="20"/>
              </w:rPr>
              <w:t xml:space="preserve">te artículo en su </w:t>
            </w:r>
            <w:r w:rsidR="006858F7" w:rsidRPr="006858F7">
              <w:rPr>
                <w:rFonts w:ascii="Century Gothic" w:hAnsi="Century Gothic" w:cs="Times New Roman"/>
                <w:sz w:val="20"/>
                <w:szCs w:val="20"/>
              </w:rPr>
              <w:t>primer</w:t>
            </w:r>
            <w:r w:rsidR="00A00E19" w:rsidRPr="006858F7">
              <w:rPr>
                <w:rFonts w:ascii="Century Gothic" w:hAnsi="Century Gothic" w:cs="Times New Roman"/>
                <w:sz w:val="20"/>
                <w:szCs w:val="20"/>
              </w:rPr>
              <w:t xml:space="preserve"> debate</w:t>
            </w:r>
            <w:r w:rsidR="006858F7" w:rsidRPr="006858F7">
              <w:rPr>
                <w:rFonts w:ascii="Century Gothic" w:hAnsi="Century Gothic" w:cs="Times New Roman"/>
                <w:sz w:val="20"/>
                <w:szCs w:val="20"/>
              </w:rPr>
              <w:t xml:space="preserve"> en Cámara</w:t>
            </w:r>
            <w:r w:rsidR="00A00E19" w:rsidRPr="006858F7">
              <w:rPr>
                <w:rFonts w:ascii="Century Gothic" w:hAnsi="Century Gothic" w:cs="Times New Roman"/>
                <w:sz w:val="20"/>
                <w:szCs w:val="20"/>
              </w:rPr>
              <w:t>, la prerrogativa está contemplada para</w:t>
            </w:r>
            <w:r w:rsidR="003D3058" w:rsidRPr="006858F7">
              <w:rPr>
                <w:rFonts w:ascii="Century Gothic" w:hAnsi="Century Gothic" w:cs="Times New Roman"/>
                <w:sz w:val="20"/>
                <w:szCs w:val="20"/>
              </w:rPr>
              <w:t xml:space="preserve"> que dicha solicitud pueda provenir de </w:t>
            </w:r>
            <w:r w:rsidR="00A00E19" w:rsidRPr="006858F7">
              <w:rPr>
                <w:rFonts w:ascii="Century Gothic" w:hAnsi="Century Gothic" w:cs="Times New Roman"/>
                <w:sz w:val="20"/>
                <w:szCs w:val="20"/>
              </w:rPr>
              <w:t xml:space="preserve"> cualquiera de los intervinientes. Esto quiere decir que eventualmente el agresor podría solicitar la reserva de sus datos personales. Si</w:t>
            </w:r>
            <w:r w:rsidR="0034467B" w:rsidRPr="006858F7">
              <w:rPr>
                <w:rFonts w:ascii="Century Gothic" w:hAnsi="Century Gothic" w:cs="Times New Roman"/>
                <w:sz w:val="20"/>
                <w:szCs w:val="20"/>
              </w:rPr>
              <w:t>n embargo, esta prerrogativa no at</w:t>
            </w:r>
            <w:r w:rsidR="003D0341" w:rsidRPr="006858F7">
              <w:rPr>
                <w:rFonts w:ascii="Century Gothic" w:hAnsi="Century Gothic" w:cs="Times New Roman"/>
                <w:sz w:val="20"/>
                <w:szCs w:val="20"/>
              </w:rPr>
              <w:t>iende al principio de necesidad. Por lo tanto, en el texto propues</w:t>
            </w:r>
            <w:r w:rsidR="007503D8" w:rsidRPr="006858F7">
              <w:rPr>
                <w:rFonts w:ascii="Century Gothic" w:hAnsi="Century Gothic" w:cs="Times New Roman"/>
                <w:sz w:val="20"/>
                <w:szCs w:val="20"/>
              </w:rPr>
              <w:t>to para debate se establece que los intervinientes podrán solicitar la reserva de los d</w:t>
            </w:r>
            <w:r w:rsidR="0036034C" w:rsidRPr="006858F7">
              <w:rPr>
                <w:rFonts w:ascii="Century Gothic" w:hAnsi="Century Gothic" w:cs="Times New Roman"/>
                <w:sz w:val="20"/>
                <w:szCs w:val="20"/>
              </w:rPr>
              <w:t xml:space="preserve">atos personales de las víctimas, sus descendientes y de personas que estén bajo su cuidado y custodia. </w:t>
            </w:r>
          </w:p>
          <w:p w14:paraId="55ED36E3" w14:textId="77777777" w:rsidR="00AC73FF" w:rsidRPr="006858F7" w:rsidRDefault="00AC73FF" w:rsidP="006426C1">
            <w:pPr>
              <w:pStyle w:val="Sinespaciado"/>
              <w:rPr>
                <w:rFonts w:ascii="Century Gothic" w:hAnsi="Century Gothic" w:cs="Times New Roman"/>
                <w:sz w:val="20"/>
                <w:szCs w:val="20"/>
              </w:rPr>
            </w:pPr>
          </w:p>
        </w:tc>
      </w:tr>
      <w:tr w:rsidR="00F8685B" w:rsidRPr="006858F7" w14:paraId="32620E72" w14:textId="77777777" w:rsidTr="003C2097">
        <w:tc>
          <w:tcPr>
            <w:tcW w:w="1667" w:type="pct"/>
          </w:tcPr>
          <w:p w14:paraId="5336223D"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Artículo 3°.</w:t>
            </w:r>
            <w:r w:rsidRPr="006858F7">
              <w:rPr>
                <w:rFonts w:ascii="Century Gothic" w:hAnsi="Century Gothic" w:cs="Times New Roman"/>
                <w:sz w:val="20"/>
                <w:szCs w:val="20"/>
              </w:rPr>
              <w:t xml:space="preserve"> Modifíquese el numeral 3 y el parágrafo 3° del artículo 284 de la Ley 906 de 2004, relativo a la Prueba anticipada, los cuales quedarán así:</w:t>
            </w:r>
          </w:p>
          <w:p w14:paraId="5ECC602A" w14:textId="77777777" w:rsidR="00AC73FF" w:rsidRPr="006858F7" w:rsidRDefault="00AC73FF" w:rsidP="00AC73FF">
            <w:pPr>
              <w:pStyle w:val="Sinespaciado"/>
              <w:rPr>
                <w:rFonts w:ascii="Century Gothic" w:hAnsi="Century Gothic" w:cs="Times New Roman"/>
                <w:sz w:val="20"/>
                <w:szCs w:val="20"/>
              </w:rPr>
            </w:pPr>
          </w:p>
          <w:p w14:paraId="61921B93"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Artículo 284. Prueba anticipada.</w:t>
            </w:r>
            <w:r w:rsidRPr="006858F7">
              <w:rPr>
                <w:rFonts w:ascii="Century Gothic" w:hAnsi="Century Gothic" w:cs="Times New Roman"/>
                <w:sz w:val="20"/>
                <w:szCs w:val="20"/>
              </w:rPr>
              <w:t xml:space="preserve"> Durante la investigación y hasta antes de la instalación de la audiencia de juicio oral se podrá practicar anticipadamente cualquier medio de prueba pertinente, con el cumplimiento de los siguientes requisitos:</w:t>
            </w:r>
          </w:p>
          <w:p w14:paraId="3D38BAF5" w14:textId="77777777" w:rsidR="00AC73FF" w:rsidRPr="006858F7" w:rsidRDefault="00AC73FF" w:rsidP="00AC73FF">
            <w:pPr>
              <w:pStyle w:val="Sinespaciado"/>
              <w:rPr>
                <w:rFonts w:ascii="Century Gothic" w:hAnsi="Century Gothic" w:cs="Times New Roman"/>
                <w:sz w:val="20"/>
                <w:szCs w:val="20"/>
              </w:rPr>
            </w:pPr>
          </w:p>
          <w:p w14:paraId="446919B4"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1. Que sea practicada ante el juez que cumpla funciones de control de garantías.</w:t>
            </w:r>
          </w:p>
          <w:p w14:paraId="0F0BD9EC" w14:textId="77777777" w:rsidR="00AC73FF" w:rsidRPr="006858F7" w:rsidRDefault="00AC73FF" w:rsidP="00AC73FF">
            <w:pPr>
              <w:pStyle w:val="Sinespaciado"/>
              <w:rPr>
                <w:rFonts w:ascii="Century Gothic" w:hAnsi="Century Gothic" w:cs="Times New Roman"/>
                <w:sz w:val="20"/>
                <w:szCs w:val="20"/>
              </w:rPr>
            </w:pPr>
          </w:p>
          <w:p w14:paraId="54B3E9CE"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2. Que sea solicitada por el Fiscal General o el fiscal delegado, por la defensa o por el Ministerio Público en los casos previstos en el artículo 112.</w:t>
            </w:r>
          </w:p>
          <w:p w14:paraId="151D7116" w14:textId="77777777" w:rsidR="00AC73FF" w:rsidRPr="006858F7" w:rsidRDefault="00AC73FF" w:rsidP="00AC73FF">
            <w:pPr>
              <w:pStyle w:val="Sinespaciado"/>
              <w:rPr>
                <w:rFonts w:ascii="Century Gothic" w:hAnsi="Century Gothic" w:cs="Times New Roman"/>
                <w:sz w:val="20"/>
                <w:szCs w:val="20"/>
              </w:rPr>
            </w:pPr>
          </w:p>
          <w:p w14:paraId="25880607"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3. Que sea por motivos fundados y de extrema necesidad y para evitar la pérdida o alteración del medio probatorio, o que se trate de investigaciones que se adelanten por el delito de violencia intrafamiliar.</w:t>
            </w:r>
          </w:p>
          <w:p w14:paraId="6E5BF463" w14:textId="77777777" w:rsidR="00AC73FF" w:rsidRPr="006858F7" w:rsidRDefault="00AC73FF" w:rsidP="00AC73FF">
            <w:pPr>
              <w:pStyle w:val="Sinespaciado"/>
              <w:rPr>
                <w:rFonts w:ascii="Century Gothic" w:hAnsi="Century Gothic" w:cs="Times New Roman"/>
                <w:sz w:val="20"/>
                <w:szCs w:val="20"/>
              </w:rPr>
            </w:pPr>
          </w:p>
          <w:p w14:paraId="58BB5C7F"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4. Que se practique en audiencia pública y con observancia de las reglas previstas para la práctica de pruebas en el juicio.</w:t>
            </w:r>
          </w:p>
          <w:p w14:paraId="26D84895" w14:textId="77777777" w:rsidR="00AC73FF" w:rsidRPr="006858F7" w:rsidRDefault="00AC73FF" w:rsidP="00AC73FF">
            <w:pPr>
              <w:pStyle w:val="Sinespaciado"/>
              <w:rPr>
                <w:rFonts w:ascii="Century Gothic" w:hAnsi="Century Gothic" w:cs="Times New Roman"/>
                <w:sz w:val="20"/>
                <w:szCs w:val="20"/>
              </w:rPr>
            </w:pPr>
          </w:p>
          <w:p w14:paraId="52654ACE"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 1°.</w:t>
            </w:r>
            <w:r w:rsidRPr="006858F7">
              <w:rPr>
                <w:rFonts w:ascii="Century Gothic" w:hAnsi="Century Gothic" w:cs="Times New Roman"/>
                <w:sz w:val="20"/>
                <w:szCs w:val="20"/>
              </w:rPr>
              <w:t xml:space="preserve"> Si la prueba anticipada es solicitada a partir de la presentación del escrito de acusación, el peticionario deberá informar de esta circunstancia al juez de conocimiento.</w:t>
            </w:r>
          </w:p>
          <w:p w14:paraId="12F3900A" w14:textId="77777777" w:rsidR="00AC73FF" w:rsidRPr="006858F7" w:rsidRDefault="00AC73FF" w:rsidP="00AC73FF">
            <w:pPr>
              <w:pStyle w:val="Sinespaciado"/>
              <w:rPr>
                <w:rFonts w:ascii="Century Gothic" w:hAnsi="Century Gothic" w:cs="Times New Roman"/>
                <w:sz w:val="20"/>
                <w:szCs w:val="20"/>
              </w:rPr>
            </w:pPr>
          </w:p>
          <w:p w14:paraId="24E982E3"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 2°.</w:t>
            </w:r>
            <w:r w:rsidRPr="006858F7">
              <w:rPr>
                <w:rFonts w:ascii="Century Gothic" w:hAnsi="Century Gothic" w:cs="Times New Roman"/>
                <w:sz w:val="20"/>
                <w:szCs w:val="20"/>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2D4EFB3C" w14:textId="77777777" w:rsidR="00AC73FF" w:rsidRPr="006858F7" w:rsidRDefault="00AC73FF" w:rsidP="00AC73FF">
            <w:pPr>
              <w:pStyle w:val="Sinespaciado"/>
              <w:rPr>
                <w:rFonts w:ascii="Century Gothic" w:hAnsi="Century Gothic" w:cs="Times New Roman"/>
                <w:sz w:val="20"/>
                <w:szCs w:val="20"/>
              </w:rPr>
            </w:pPr>
          </w:p>
          <w:p w14:paraId="4A08EC30"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 3°.</w:t>
            </w:r>
            <w:r w:rsidRPr="006858F7">
              <w:rPr>
                <w:rFonts w:ascii="Century Gothic" w:hAnsi="Century Gothic" w:cs="Times New Roman"/>
                <w:sz w:val="20"/>
                <w:szCs w:val="20"/>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evento en el cual, el juez se abstendrá de repetir la prueba anticipada cuando exista evidencia sumaria de:</w:t>
            </w:r>
          </w:p>
          <w:p w14:paraId="5359BA8A" w14:textId="77777777" w:rsidR="00AC73FF" w:rsidRPr="006858F7" w:rsidRDefault="00AC73FF" w:rsidP="00AC73FF">
            <w:pPr>
              <w:pStyle w:val="Sinespaciado"/>
              <w:rPr>
                <w:rFonts w:ascii="Century Gothic" w:hAnsi="Century Gothic" w:cs="Times New Roman"/>
                <w:sz w:val="20"/>
                <w:szCs w:val="20"/>
              </w:rPr>
            </w:pPr>
          </w:p>
          <w:p w14:paraId="34561674"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a) Revictimización;</w:t>
            </w:r>
          </w:p>
          <w:p w14:paraId="65A81D35" w14:textId="77777777" w:rsidR="00AC73FF" w:rsidRPr="006858F7" w:rsidRDefault="00AC73FF" w:rsidP="00AC73FF">
            <w:pPr>
              <w:pStyle w:val="Sinespaciado"/>
              <w:rPr>
                <w:rFonts w:ascii="Century Gothic" w:hAnsi="Century Gothic" w:cs="Times New Roman"/>
                <w:sz w:val="20"/>
                <w:szCs w:val="20"/>
              </w:rPr>
            </w:pPr>
          </w:p>
          <w:p w14:paraId="7D755583"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b) Riesgo de violencia o manipulación;</w:t>
            </w:r>
          </w:p>
          <w:p w14:paraId="195E8BF0" w14:textId="77777777" w:rsidR="00AC73FF" w:rsidRPr="006858F7" w:rsidRDefault="00AC73FF" w:rsidP="00AC73FF">
            <w:pPr>
              <w:pStyle w:val="Sinespaciado"/>
              <w:rPr>
                <w:rFonts w:ascii="Century Gothic" w:hAnsi="Century Gothic" w:cs="Times New Roman"/>
                <w:sz w:val="20"/>
                <w:szCs w:val="20"/>
              </w:rPr>
            </w:pPr>
          </w:p>
          <w:p w14:paraId="5B2B27B7"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c) Afectación emocional del testigo;</w:t>
            </w:r>
          </w:p>
          <w:p w14:paraId="219F73CB" w14:textId="77777777" w:rsidR="00AC73FF" w:rsidRPr="006858F7" w:rsidRDefault="00AC73FF" w:rsidP="00AC73FF">
            <w:pPr>
              <w:pStyle w:val="Sinespaciado"/>
              <w:rPr>
                <w:rFonts w:ascii="Century Gothic" w:hAnsi="Century Gothic" w:cs="Times New Roman"/>
                <w:sz w:val="20"/>
                <w:szCs w:val="20"/>
              </w:rPr>
            </w:pPr>
          </w:p>
          <w:p w14:paraId="7D2A0431"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d) O dependencia económica con el agresor.</w:t>
            </w:r>
          </w:p>
          <w:p w14:paraId="4FEFB6A6" w14:textId="77777777" w:rsidR="00AC73FF" w:rsidRPr="006858F7" w:rsidRDefault="00AC73FF" w:rsidP="00AC73FF">
            <w:pPr>
              <w:pStyle w:val="Sinespaciado"/>
              <w:rPr>
                <w:rFonts w:ascii="Century Gothic" w:hAnsi="Century Gothic" w:cs="Times New Roman"/>
                <w:sz w:val="20"/>
                <w:szCs w:val="20"/>
              </w:rPr>
            </w:pPr>
          </w:p>
          <w:p w14:paraId="3A3ED90B"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 4°.</w:t>
            </w:r>
            <w:r w:rsidRPr="006858F7">
              <w:rPr>
                <w:rFonts w:ascii="Century Gothic" w:hAnsi="Century Gothic" w:cs="Times New Roman"/>
                <w:sz w:val="20"/>
                <w:szCs w:val="20"/>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18195390" w14:textId="77777777" w:rsidR="00AC73FF" w:rsidRPr="006858F7" w:rsidRDefault="00AC73FF" w:rsidP="00AC73FF">
            <w:pPr>
              <w:pStyle w:val="Sinespaciado"/>
              <w:rPr>
                <w:rFonts w:ascii="Century Gothic" w:hAnsi="Century Gothic" w:cs="Times New Roman"/>
                <w:sz w:val="20"/>
                <w:szCs w:val="20"/>
              </w:rPr>
            </w:pPr>
          </w:p>
          <w:p w14:paraId="1EA7899D"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La prueba deberá practicarse antes de que quede en firme la decisión del Presidente de la República de conceder la extradición.</w:t>
            </w:r>
          </w:p>
          <w:p w14:paraId="1C571EC2" w14:textId="77777777" w:rsidR="00AC73FF" w:rsidRPr="006858F7" w:rsidRDefault="00AC73FF" w:rsidP="00AC73FF">
            <w:pPr>
              <w:pStyle w:val="Sinespaciado"/>
              <w:rPr>
                <w:rFonts w:ascii="Century Gothic" w:hAnsi="Century Gothic" w:cs="Times New Roman"/>
                <w:sz w:val="20"/>
                <w:szCs w:val="20"/>
              </w:rPr>
            </w:pPr>
          </w:p>
          <w:p w14:paraId="5543C055"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 5.</w:t>
            </w:r>
            <w:r w:rsidRPr="006858F7">
              <w:rPr>
                <w:rFonts w:ascii="Century Gothic" w:hAnsi="Century Gothic" w:cs="Times New Roman"/>
                <w:sz w:val="20"/>
                <w:szCs w:val="20"/>
              </w:rPr>
              <w:t xml:space="preserve">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14:paraId="23365E23" w14:textId="77777777" w:rsidR="00AC73FF" w:rsidRPr="006858F7" w:rsidRDefault="00AC73FF" w:rsidP="00AC73FF">
            <w:pPr>
              <w:pStyle w:val="Sinespaciado"/>
              <w:rPr>
                <w:rFonts w:ascii="Century Gothic" w:hAnsi="Century Gothic" w:cs="Times New Roman"/>
                <w:sz w:val="20"/>
                <w:szCs w:val="20"/>
              </w:rPr>
            </w:pPr>
          </w:p>
        </w:tc>
        <w:tc>
          <w:tcPr>
            <w:tcW w:w="1667" w:type="pct"/>
          </w:tcPr>
          <w:p w14:paraId="0D725672" w14:textId="77777777" w:rsidR="006B16EA" w:rsidRDefault="006B16EA" w:rsidP="00AC73FF">
            <w:pPr>
              <w:pStyle w:val="Sinespaciado"/>
              <w:jc w:val="center"/>
              <w:rPr>
                <w:rFonts w:ascii="Century Gothic" w:hAnsi="Century Gothic" w:cs="Times New Roman"/>
                <w:b/>
                <w:sz w:val="20"/>
                <w:szCs w:val="20"/>
              </w:rPr>
            </w:pPr>
          </w:p>
          <w:p w14:paraId="54A75F3A" w14:textId="77777777" w:rsidR="00AC73FF" w:rsidRPr="006858F7" w:rsidRDefault="00AC73FF" w:rsidP="00AC73FF">
            <w:pPr>
              <w:pStyle w:val="Sinespaciado"/>
              <w:jc w:val="center"/>
              <w:rPr>
                <w:rFonts w:ascii="Century Gothic" w:hAnsi="Century Gothic" w:cs="Times New Roman"/>
                <w:sz w:val="20"/>
                <w:szCs w:val="20"/>
              </w:rPr>
            </w:pPr>
            <w:r w:rsidRPr="006858F7">
              <w:rPr>
                <w:rFonts w:ascii="Century Gothic" w:hAnsi="Century Gothic" w:cs="Times New Roman"/>
                <w:b/>
                <w:sz w:val="20"/>
                <w:szCs w:val="20"/>
              </w:rPr>
              <w:t>Se propone el mismo texto aprobado en Comisión Primera de la Cámara de Representantes</w:t>
            </w:r>
          </w:p>
        </w:tc>
        <w:tc>
          <w:tcPr>
            <w:tcW w:w="1666" w:type="pct"/>
          </w:tcPr>
          <w:p w14:paraId="710044F3" w14:textId="77777777" w:rsidR="00AC73FF" w:rsidRPr="006858F7" w:rsidRDefault="00AC73FF" w:rsidP="00AC73FF">
            <w:pPr>
              <w:tabs>
                <w:tab w:val="left" w:pos="1044"/>
              </w:tabs>
              <w:jc w:val="center"/>
              <w:rPr>
                <w:rFonts w:ascii="Century Gothic" w:eastAsia="Times New Roman" w:hAnsi="Century Gothic" w:cs="Times New Roman"/>
                <w:sz w:val="20"/>
                <w:szCs w:val="20"/>
                <w:lang w:val="es-ES_tradnl"/>
              </w:rPr>
            </w:pPr>
            <w:r w:rsidRPr="006858F7">
              <w:rPr>
                <w:rFonts w:ascii="Century Gothic" w:hAnsi="Century Gothic" w:cs="Times New Roman"/>
                <w:b/>
                <w:sz w:val="20"/>
                <w:szCs w:val="20"/>
              </w:rPr>
              <w:t>Se propone el mismo texto aprobado en Comisión Primera de la Cámara de Representantes</w:t>
            </w:r>
          </w:p>
        </w:tc>
      </w:tr>
      <w:tr w:rsidR="00F8685B" w:rsidRPr="006858F7" w14:paraId="2D901183" w14:textId="77777777" w:rsidTr="003C2097">
        <w:tc>
          <w:tcPr>
            <w:tcW w:w="1667" w:type="pct"/>
          </w:tcPr>
          <w:p w14:paraId="76D1021A"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Artículo 4°.</w:t>
            </w:r>
            <w:r w:rsidRPr="006858F7">
              <w:rPr>
                <w:rFonts w:ascii="Century Gothic" w:hAnsi="Century Gothic" w:cs="Times New Roman"/>
                <w:sz w:val="20"/>
                <w:szCs w:val="20"/>
              </w:rPr>
              <w:t xml:space="preserve"> Modifíquese el artículo 534 de la Ley 906 de 2004, el cual quedará así:</w:t>
            </w:r>
          </w:p>
          <w:p w14:paraId="4B4AA5B7" w14:textId="77777777" w:rsidR="00AC73FF" w:rsidRPr="006858F7" w:rsidRDefault="00AC73FF" w:rsidP="00AC73FF">
            <w:pPr>
              <w:pStyle w:val="Sinespaciado"/>
              <w:rPr>
                <w:rFonts w:ascii="Century Gothic" w:hAnsi="Century Gothic" w:cs="Times New Roman"/>
                <w:sz w:val="20"/>
                <w:szCs w:val="20"/>
              </w:rPr>
            </w:pPr>
          </w:p>
          <w:p w14:paraId="09C44A81"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Artículo 534. Ámbito de aplicación.</w:t>
            </w:r>
            <w:r w:rsidRPr="006858F7">
              <w:rPr>
                <w:rFonts w:ascii="Century Gothic" w:hAnsi="Century Gothic" w:cs="Times New Roman"/>
                <w:sz w:val="20"/>
                <w:szCs w:val="20"/>
              </w:rPr>
              <w:t xml:space="preserve"> El procedimiento especial abreviado de que trata el presente título se aplicará a las siguientes conductas punibles:</w:t>
            </w:r>
          </w:p>
          <w:p w14:paraId="4A6AF55A" w14:textId="77777777" w:rsidR="00AC73FF" w:rsidRPr="006858F7" w:rsidRDefault="00AC73FF" w:rsidP="00AC73FF">
            <w:pPr>
              <w:pStyle w:val="Sinespaciado"/>
              <w:rPr>
                <w:rFonts w:ascii="Century Gothic" w:hAnsi="Century Gothic" w:cs="Times New Roman"/>
                <w:sz w:val="20"/>
                <w:szCs w:val="20"/>
              </w:rPr>
            </w:pPr>
          </w:p>
          <w:p w14:paraId="04536A45"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1. Las que requieren querella para el inicio de la acción penal.</w:t>
            </w:r>
          </w:p>
          <w:p w14:paraId="0F20941D" w14:textId="77777777" w:rsidR="00AC73FF" w:rsidRPr="006858F7" w:rsidRDefault="00AC73FF" w:rsidP="00AC73FF">
            <w:pPr>
              <w:pStyle w:val="Sinespaciado"/>
              <w:rPr>
                <w:rFonts w:ascii="Century Gothic" w:hAnsi="Century Gothic" w:cs="Times New Roman"/>
                <w:sz w:val="20"/>
                <w:szCs w:val="20"/>
              </w:rPr>
            </w:pPr>
          </w:p>
          <w:p w14:paraId="6FDED51A"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 xml:space="preserve">2. Lesiones personales a las que hacen referencia los artículos 111, 112, 113, 114, 115, 116, 118 y 120 del Código Penal; Actos de Discriminación (C. P. artículo 134A), Hostigamiento (C. P. artículo 134B), Actos de Discriminación u Hostigamiento Agravados (C. P. artículo 134C), violencia intrafamiliar (C. P. artículo 229), 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(C.P. artículo 270); violación de derechos patrimoniales de autor y derechos conexos (C. P. artículo 271); violación a los mecanismos de protección de derechos de autor (C. P. artículo 272); falsedad en documento privado (C.P. artículos 289 y 290); usurpación de derechos de propiedad industrial y de derechos de obtentores de variedades vegetales (C. P. artículo 306); uso ilegítimo de patentes (C. P. artículo 307); violación de reserva industrial y comercial (C. P. artículo 308); ejercicio ilícito de actividad monopolística de arbitrio rentístico (C. P. artículo 312). </w:t>
            </w:r>
          </w:p>
          <w:p w14:paraId="52A24BF7" w14:textId="77777777" w:rsidR="00AC73FF" w:rsidRPr="006858F7" w:rsidRDefault="00AC73FF" w:rsidP="00AC73FF">
            <w:pPr>
              <w:pStyle w:val="Sinespaciado"/>
              <w:rPr>
                <w:rFonts w:ascii="Century Gothic" w:hAnsi="Century Gothic" w:cs="Times New Roman"/>
                <w:sz w:val="20"/>
                <w:szCs w:val="20"/>
              </w:rPr>
            </w:pPr>
          </w:p>
          <w:p w14:paraId="374936F2"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sz w:val="20"/>
                <w:szCs w:val="20"/>
              </w:rPr>
              <w:t>En caso de concurso entre las conductas punibles referidas en los numerales anteriores y aquellas a las que se les aplica el procedimiento ordinario, la actuación se regirá por este último.</w:t>
            </w:r>
          </w:p>
          <w:p w14:paraId="0ECDB131" w14:textId="77777777" w:rsidR="00AC73FF" w:rsidRPr="006858F7" w:rsidRDefault="00AC73FF" w:rsidP="00AC73FF">
            <w:pPr>
              <w:pStyle w:val="Sinespaciado"/>
              <w:rPr>
                <w:rFonts w:ascii="Century Gothic" w:hAnsi="Century Gothic" w:cs="Times New Roman"/>
                <w:sz w:val="20"/>
                <w:szCs w:val="20"/>
              </w:rPr>
            </w:pPr>
          </w:p>
          <w:p w14:paraId="04135F06"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Parágrafo.</w:t>
            </w:r>
            <w:r w:rsidRPr="006858F7">
              <w:rPr>
                <w:rFonts w:ascii="Century Gothic" w:hAnsi="Century Gothic" w:cs="Times New Roman"/>
                <w:sz w:val="20"/>
                <w:szCs w:val="20"/>
              </w:rPr>
              <w:t xml:space="preserve"> Este procedimiento aplicará también para todos los casos de flagrancia de los delitos contemplados en el presente artículo.</w:t>
            </w:r>
          </w:p>
        </w:tc>
        <w:tc>
          <w:tcPr>
            <w:tcW w:w="1667" w:type="pct"/>
          </w:tcPr>
          <w:p w14:paraId="763121D3" w14:textId="77777777" w:rsidR="00AC73FF" w:rsidRPr="006858F7" w:rsidRDefault="00AC73FF" w:rsidP="00AC73FF">
            <w:pPr>
              <w:pStyle w:val="Sinespaciado"/>
              <w:jc w:val="center"/>
              <w:rPr>
                <w:rFonts w:ascii="Century Gothic" w:hAnsi="Century Gothic" w:cs="Times New Roman"/>
                <w:b/>
                <w:sz w:val="20"/>
                <w:szCs w:val="20"/>
              </w:rPr>
            </w:pPr>
          </w:p>
          <w:p w14:paraId="55EB81C7" w14:textId="77777777" w:rsidR="00AC73FF" w:rsidRPr="006858F7" w:rsidRDefault="00AC73FF" w:rsidP="00AC73FF">
            <w:pPr>
              <w:pStyle w:val="Sinespaciado"/>
              <w:jc w:val="center"/>
              <w:rPr>
                <w:rFonts w:ascii="Century Gothic" w:hAnsi="Century Gothic" w:cs="Times New Roman"/>
                <w:b/>
                <w:sz w:val="20"/>
                <w:szCs w:val="20"/>
              </w:rPr>
            </w:pPr>
          </w:p>
          <w:p w14:paraId="46DE9F50" w14:textId="77777777" w:rsidR="00AC73FF" w:rsidRPr="006858F7" w:rsidRDefault="00AC73FF" w:rsidP="00AC73FF">
            <w:pPr>
              <w:pStyle w:val="Sinespaciado"/>
              <w:jc w:val="center"/>
              <w:rPr>
                <w:rFonts w:ascii="Century Gothic" w:hAnsi="Century Gothic" w:cs="Times New Roman"/>
                <w:b/>
                <w:sz w:val="20"/>
                <w:szCs w:val="20"/>
              </w:rPr>
            </w:pPr>
          </w:p>
          <w:p w14:paraId="659288BE" w14:textId="77777777" w:rsidR="00AC73FF" w:rsidRPr="006858F7" w:rsidRDefault="00AC73FF" w:rsidP="00AC73FF">
            <w:pPr>
              <w:pStyle w:val="Sinespaciado"/>
              <w:jc w:val="center"/>
              <w:rPr>
                <w:rFonts w:ascii="Century Gothic" w:hAnsi="Century Gothic" w:cs="Times New Roman"/>
                <w:b/>
                <w:sz w:val="20"/>
                <w:szCs w:val="20"/>
              </w:rPr>
            </w:pPr>
          </w:p>
          <w:p w14:paraId="4194C235" w14:textId="77777777" w:rsidR="00AC73FF" w:rsidRPr="006858F7" w:rsidRDefault="00AC73FF" w:rsidP="00AC73FF">
            <w:pPr>
              <w:pStyle w:val="Sinespaciado"/>
              <w:jc w:val="center"/>
              <w:rPr>
                <w:rFonts w:ascii="Century Gothic" w:hAnsi="Century Gothic" w:cs="Times New Roman"/>
                <w:b/>
                <w:sz w:val="20"/>
                <w:szCs w:val="20"/>
              </w:rPr>
            </w:pPr>
          </w:p>
          <w:p w14:paraId="02EB354A" w14:textId="77777777" w:rsidR="00AC73FF" w:rsidRPr="006858F7" w:rsidRDefault="00AC73FF" w:rsidP="00AC73FF">
            <w:pPr>
              <w:pStyle w:val="Sinespaciado"/>
              <w:jc w:val="center"/>
              <w:rPr>
                <w:rFonts w:ascii="Century Gothic" w:hAnsi="Century Gothic" w:cs="Times New Roman"/>
                <w:b/>
                <w:sz w:val="20"/>
                <w:szCs w:val="20"/>
              </w:rPr>
            </w:pPr>
          </w:p>
          <w:p w14:paraId="1467F6AE" w14:textId="77777777" w:rsidR="00AC73FF" w:rsidRPr="006858F7" w:rsidRDefault="00AC73FF" w:rsidP="00AC73FF">
            <w:pPr>
              <w:pStyle w:val="Sinespaciado"/>
              <w:jc w:val="center"/>
              <w:rPr>
                <w:rFonts w:ascii="Century Gothic" w:hAnsi="Century Gothic" w:cs="Times New Roman"/>
                <w:b/>
                <w:sz w:val="20"/>
                <w:szCs w:val="20"/>
              </w:rPr>
            </w:pPr>
          </w:p>
          <w:p w14:paraId="736F3DCA" w14:textId="77777777" w:rsidR="00AC73FF" w:rsidRPr="006858F7" w:rsidRDefault="00AC73FF" w:rsidP="00AC73FF">
            <w:pPr>
              <w:pStyle w:val="Sinespaciado"/>
              <w:jc w:val="center"/>
              <w:rPr>
                <w:rFonts w:ascii="Century Gothic" w:hAnsi="Century Gothic" w:cs="Times New Roman"/>
                <w:b/>
                <w:sz w:val="20"/>
                <w:szCs w:val="20"/>
              </w:rPr>
            </w:pPr>
          </w:p>
          <w:p w14:paraId="0DA2514B" w14:textId="77777777" w:rsidR="00AC73FF" w:rsidRPr="006858F7" w:rsidRDefault="00AC73FF" w:rsidP="00AC73FF">
            <w:pPr>
              <w:pStyle w:val="Sinespaciado"/>
              <w:jc w:val="center"/>
              <w:rPr>
                <w:rFonts w:ascii="Century Gothic" w:hAnsi="Century Gothic" w:cs="Times New Roman"/>
                <w:b/>
                <w:sz w:val="20"/>
                <w:szCs w:val="20"/>
              </w:rPr>
            </w:pPr>
          </w:p>
          <w:p w14:paraId="271554BB" w14:textId="77777777" w:rsidR="00AC73FF" w:rsidRPr="006858F7" w:rsidRDefault="00AC73FF" w:rsidP="00AC73FF">
            <w:pPr>
              <w:pStyle w:val="Sinespaciado"/>
              <w:jc w:val="center"/>
              <w:rPr>
                <w:rFonts w:ascii="Century Gothic" w:hAnsi="Century Gothic" w:cs="Times New Roman"/>
                <w:b/>
                <w:sz w:val="20"/>
                <w:szCs w:val="20"/>
              </w:rPr>
            </w:pPr>
          </w:p>
          <w:p w14:paraId="78606365" w14:textId="77777777" w:rsidR="00AC73FF" w:rsidRPr="006858F7" w:rsidRDefault="00AC73FF" w:rsidP="00AC73FF">
            <w:pPr>
              <w:pStyle w:val="Sinespaciado"/>
              <w:jc w:val="center"/>
              <w:rPr>
                <w:rFonts w:ascii="Century Gothic" w:hAnsi="Century Gothic" w:cs="Times New Roman"/>
                <w:b/>
                <w:sz w:val="20"/>
                <w:szCs w:val="20"/>
              </w:rPr>
            </w:pPr>
          </w:p>
          <w:p w14:paraId="24D21540" w14:textId="77777777" w:rsidR="00AC73FF" w:rsidRPr="006858F7" w:rsidRDefault="00AC73FF" w:rsidP="00AC73FF">
            <w:pPr>
              <w:pStyle w:val="Sinespaciado"/>
              <w:jc w:val="center"/>
              <w:rPr>
                <w:rFonts w:ascii="Century Gothic" w:hAnsi="Century Gothic" w:cs="Times New Roman"/>
                <w:b/>
                <w:sz w:val="20"/>
                <w:szCs w:val="20"/>
              </w:rPr>
            </w:pPr>
          </w:p>
          <w:p w14:paraId="2A85FFF5" w14:textId="77777777" w:rsidR="00AC73FF" w:rsidRPr="006858F7" w:rsidRDefault="00AC73FF" w:rsidP="00AC73FF">
            <w:pPr>
              <w:pStyle w:val="Sinespaciado"/>
              <w:jc w:val="center"/>
              <w:rPr>
                <w:rFonts w:ascii="Century Gothic" w:hAnsi="Century Gothic" w:cs="Times New Roman"/>
                <w:sz w:val="20"/>
                <w:szCs w:val="20"/>
              </w:rPr>
            </w:pPr>
            <w:r w:rsidRPr="006858F7">
              <w:rPr>
                <w:rFonts w:ascii="Century Gothic" w:hAnsi="Century Gothic" w:cs="Times New Roman"/>
                <w:b/>
                <w:sz w:val="20"/>
                <w:szCs w:val="20"/>
              </w:rPr>
              <w:t>Se propone el mismo texto aprobado en Comisión Primera de la Cámara de Representantes</w:t>
            </w:r>
          </w:p>
        </w:tc>
        <w:tc>
          <w:tcPr>
            <w:tcW w:w="1666" w:type="pct"/>
          </w:tcPr>
          <w:p w14:paraId="71B92D52" w14:textId="77777777" w:rsidR="00AC73FF" w:rsidRPr="006858F7" w:rsidRDefault="00AC73FF" w:rsidP="00AC73FF">
            <w:pPr>
              <w:pStyle w:val="Sinespaciado"/>
              <w:jc w:val="center"/>
              <w:rPr>
                <w:rFonts w:ascii="Century Gothic" w:hAnsi="Century Gothic" w:cs="Times New Roman"/>
                <w:b/>
                <w:sz w:val="20"/>
                <w:szCs w:val="20"/>
              </w:rPr>
            </w:pPr>
          </w:p>
          <w:p w14:paraId="680CA264" w14:textId="77777777" w:rsidR="00AC73FF" w:rsidRPr="006858F7" w:rsidRDefault="00AC73FF" w:rsidP="00AC73FF">
            <w:pPr>
              <w:pStyle w:val="Sinespaciado"/>
              <w:jc w:val="center"/>
              <w:rPr>
                <w:rFonts w:ascii="Century Gothic" w:hAnsi="Century Gothic" w:cs="Times New Roman"/>
                <w:b/>
                <w:sz w:val="20"/>
                <w:szCs w:val="20"/>
              </w:rPr>
            </w:pPr>
          </w:p>
          <w:p w14:paraId="47BEBD0E" w14:textId="77777777" w:rsidR="00AC73FF" w:rsidRPr="006858F7" w:rsidRDefault="00AC73FF" w:rsidP="00AC73FF">
            <w:pPr>
              <w:pStyle w:val="Sinespaciado"/>
              <w:jc w:val="center"/>
              <w:rPr>
                <w:rFonts w:ascii="Century Gothic" w:hAnsi="Century Gothic" w:cs="Times New Roman"/>
                <w:b/>
                <w:sz w:val="20"/>
                <w:szCs w:val="20"/>
              </w:rPr>
            </w:pPr>
          </w:p>
          <w:p w14:paraId="7B679D0C" w14:textId="77777777" w:rsidR="00AC73FF" w:rsidRPr="006858F7" w:rsidRDefault="00AC73FF" w:rsidP="00AC73FF">
            <w:pPr>
              <w:pStyle w:val="Sinespaciado"/>
              <w:jc w:val="center"/>
              <w:rPr>
                <w:rFonts w:ascii="Century Gothic" w:hAnsi="Century Gothic" w:cs="Times New Roman"/>
                <w:b/>
                <w:sz w:val="20"/>
                <w:szCs w:val="20"/>
              </w:rPr>
            </w:pPr>
          </w:p>
          <w:p w14:paraId="5100C2D4" w14:textId="77777777" w:rsidR="00AC73FF" w:rsidRPr="006858F7" w:rsidRDefault="00AC73FF" w:rsidP="00AC73FF">
            <w:pPr>
              <w:pStyle w:val="Sinespaciado"/>
              <w:jc w:val="center"/>
              <w:rPr>
                <w:rFonts w:ascii="Century Gothic" w:hAnsi="Century Gothic" w:cs="Times New Roman"/>
                <w:b/>
                <w:sz w:val="20"/>
                <w:szCs w:val="20"/>
              </w:rPr>
            </w:pPr>
          </w:p>
          <w:p w14:paraId="253F2765" w14:textId="77777777" w:rsidR="00AC73FF" w:rsidRPr="006858F7" w:rsidRDefault="00AC73FF" w:rsidP="00AC73FF">
            <w:pPr>
              <w:pStyle w:val="Sinespaciado"/>
              <w:jc w:val="center"/>
              <w:rPr>
                <w:rFonts w:ascii="Century Gothic" w:hAnsi="Century Gothic" w:cs="Times New Roman"/>
                <w:b/>
                <w:sz w:val="20"/>
                <w:szCs w:val="20"/>
              </w:rPr>
            </w:pPr>
          </w:p>
          <w:p w14:paraId="02D70225" w14:textId="77777777" w:rsidR="00AC73FF" w:rsidRPr="006858F7" w:rsidRDefault="00AC73FF" w:rsidP="00AC73FF">
            <w:pPr>
              <w:pStyle w:val="Sinespaciado"/>
              <w:jc w:val="center"/>
              <w:rPr>
                <w:rFonts w:ascii="Century Gothic" w:hAnsi="Century Gothic" w:cs="Times New Roman"/>
                <w:b/>
                <w:sz w:val="20"/>
                <w:szCs w:val="20"/>
              </w:rPr>
            </w:pPr>
          </w:p>
          <w:p w14:paraId="0D79FE9D" w14:textId="77777777" w:rsidR="00AC73FF" w:rsidRPr="006858F7" w:rsidRDefault="00AC73FF" w:rsidP="00AC73FF">
            <w:pPr>
              <w:pStyle w:val="Sinespaciado"/>
              <w:jc w:val="center"/>
              <w:rPr>
                <w:rFonts w:ascii="Century Gothic" w:hAnsi="Century Gothic" w:cs="Times New Roman"/>
                <w:b/>
                <w:sz w:val="20"/>
                <w:szCs w:val="20"/>
              </w:rPr>
            </w:pPr>
          </w:p>
          <w:p w14:paraId="1C299738" w14:textId="77777777" w:rsidR="00AC73FF" w:rsidRPr="006858F7" w:rsidRDefault="00AC73FF" w:rsidP="00AC73FF">
            <w:pPr>
              <w:pStyle w:val="Sinespaciado"/>
              <w:jc w:val="center"/>
              <w:rPr>
                <w:rFonts w:ascii="Century Gothic" w:hAnsi="Century Gothic" w:cs="Times New Roman"/>
                <w:b/>
                <w:sz w:val="20"/>
                <w:szCs w:val="20"/>
              </w:rPr>
            </w:pPr>
          </w:p>
          <w:p w14:paraId="029B0315" w14:textId="77777777" w:rsidR="00AC73FF" w:rsidRPr="006858F7" w:rsidRDefault="00AC73FF" w:rsidP="00AC73FF">
            <w:pPr>
              <w:pStyle w:val="Sinespaciado"/>
              <w:jc w:val="center"/>
              <w:rPr>
                <w:rFonts w:ascii="Century Gothic" w:hAnsi="Century Gothic" w:cs="Times New Roman"/>
                <w:b/>
                <w:sz w:val="20"/>
                <w:szCs w:val="20"/>
              </w:rPr>
            </w:pPr>
          </w:p>
          <w:p w14:paraId="0FD1F7E7" w14:textId="77777777" w:rsidR="00AC73FF" w:rsidRPr="006858F7" w:rsidRDefault="00AC73FF" w:rsidP="00AC73FF">
            <w:pPr>
              <w:pStyle w:val="Sinespaciado"/>
              <w:jc w:val="center"/>
              <w:rPr>
                <w:rFonts w:ascii="Century Gothic" w:hAnsi="Century Gothic" w:cs="Times New Roman"/>
                <w:b/>
                <w:sz w:val="20"/>
                <w:szCs w:val="20"/>
              </w:rPr>
            </w:pPr>
          </w:p>
          <w:p w14:paraId="05200009" w14:textId="77777777" w:rsidR="00AC73FF" w:rsidRPr="006858F7" w:rsidRDefault="00AC73FF" w:rsidP="00AC73FF">
            <w:pPr>
              <w:pStyle w:val="Sinespaciado"/>
              <w:jc w:val="center"/>
              <w:rPr>
                <w:rFonts w:ascii="Century Gothic" w:hAnsi="Century Gothic" w:cs="Times New Roman"/>
                <w:b/>
                <w:sz w:val="20"/>
                <w:szCs w:val="20"/>
              </w:rPr>
            </w:pPr>
          </w:p>
          <w:p w14:paraId="37AE1CB5" w14:textId="77777777" w:rsidR="00AC73FF" w:rsidRPr="006858F7" w:rsidRDefault="00AC73FF" w:rsidP="00AC73FF">
            <w:pPr>
              <w:pStyle w:val="Sinespaciado"/>
              <w:jc w:val="center"/>
              <w:rPr>
                <w:rFonts w:ascii="Century Gothic" w:hAnsi="Century Gothic" w:cs="Times New Roman"/>
                <w:sz w:val="20"/>
                <w:szCs w:val="20"/>
                <w:lang w:eastAsia="es-CO"/>
              </w:rPr>
            </w:pPr>
            <w:r w:rsidRPr="006858F7">
              <w:rPr>
                <w:rFonts w:ascii="Century Gothic" w:hAnsi="Century Gothic" w:cs="Times New Roman"/>
                <w:b/>
                <w:sz w:val="20"/>
                <w:szCs w:val="20"/>
              </w:rPr>
              <w:t>Se propone el mismo texto aprobado en Comisión Primera de la Cámara de Representantes</w:t>
            </w:r>
          </w:p>
        </w:tc>
      </w:tr>
      <w:tr w:rsidR="00F8685B" w:rsidRPr="006858F7" w14:paraId="103A8D60" w14:textId="77777777" w:rsidTr="003C2097">
        <w:tc>
          <w:tcPr>
            <w:tcW w:w="1667" w:type="pct"/>
          </w:tcPr>
          <w:p w14:paraId="0AFCAC8E" w14:textId="77777777" w:rsidR="00AC73FF" w:rsidRPr="006858F7" w:rsidRDefault="006F3948"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 xml:space="preserve">Artículo </w:t>
            </w:r>
            <w:r w:rsidR="003D3058" w:rsidRPr="006858F7">
              <w:rPr>
                <w:rFonts w:ascii="Century Gothic" w:hAnsi="Century Gothic" w:cs="Times New Roman"/>
                <w:b/>
                <w:sz w:val="20"/>
                <w:szCs w:val="20"/>
              </w:rPr>
              <w:t>5</w:t>
            </w:r>
            <w:r w:rsidR="00AC73FF" w:rsidRPr="006858F7">
              <w:rPr>
                <w:rFonts w:ascii="Century Gothic" w:hAnsi="Century Gothic" w:cs="Times New Roman"/>
                <w:b/>
                <w:sz w:val="20"/>
                <w:szCs w:val="20"/>
              </w:rPr>
              <w:t>°.</w:t>
            </w:r>
            <w:r w:rsidR="00AC73FF" w:rsidRPr="006858F7">
              <w:rPr>
                <w:rFonts w:ascii="Century Gothic" w:hAnsi="Century Gothic" w:cs="Times New Roman"/>
                <w:sz w:val="20"/>
                <w:szCs w:val="20"/>
              </w:rPr>
              <w:t xml:space="preserve"> Modifíquese el artículo 550 de la Ley 906 de 2004, el cual quedará así:</w:t>
            </w:r>
          </w:p>
          <w:p w14:paraId="1A746E86" w14:textId="77777777" w:rsidR="00AC73FF" w:rsidRPr="006858F7" w:rsidRDefault="00AC73FF" w:rsidP="00AC73FF">
            <w:pPr>
              <w:pStyle w:val="Sinespaciado"/>
              <w:rPr>
                <w:rFonts w:ascii="Century Gothic" w:hAnsi="Century Gothic" w:cs="Times New Roman"/>
                <w:sz w:val="20"/>
                <w:szCs w:val="20"/>
              </w:rPr>
            </w:pPr>
          </w:p>
          <w:p w14:paraId="7FC0C139" w14:textId="77777777" w:rsidR="00AC73FF" w:rsidRPr="006858F7" w:rsidRDefault="00AC73FF"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Artículo 550.</w:t>
            </w:r>
            <w:r w:rsidRPr="006858F7">
              <w:rPr>
                <w:rFonts w:ascii="Century Gothic" w:hAnsi="Century Gothic" w:cs="Times New Roman"/>
                <w:sz w:val="20"/>
                <w:szCs w:val="20"/>
              </w:rPr>
              <w:t xml:space="preserve"> </w:t>
            </w:r>
            <w:r w:rsidRPr="006858F7">
              <w:rPr>
                <w:rFonts w:ascii="Century Gothic" w:hAnsi="Century Gothic" w:cs="Times New Roman"/>
                <w:b/>
                <w:sz w:val="20"/>
                <w:szCs w:val="20"/>
              </w:rPr>
              <w:t>Conductas punibles susceptibles de conversión de la acción penal.</w:t>
            </w:r>
            <w:r w:rsidRPr="006858F7">
              <w:rPr>
                <w:rFonts w:ascii="Century Gothic" w:hAnsi="Century Gothic" w:cs="Times New Roman"/>
                <w:sz w:val="20"/>
                <w:szCs w:val="20"/>
              </w:rPr>
              <w:t xml:space="preserve"> La conversión de la acción penal de pública a privada podrá autorizarse para las conductas que se tramiten por el procedimiento especial abreviado, a excepción de aquellas que atenten contra bienes del Estado y cuando se trate del delito de violencia intrafamiliar.</w:t>
            </w:r>
          </w:p>
          <w:p w14:paraId="20C1B0E7" w14:textId="77777777" w:rsidR="00AC73FF" w:rsidRPr="006858F7" w:rsidRDefault="00AC73FF" w:rsidP="00AC73FF">
            <w:pPr>
              <w:pStyle w:val="Sinespaciado"/>
              <w:rPr>
                <w:rFonts w:ascii="Century Gothic" w:hAnsi="Century Gothic" w:cs="Times New Roman"/>
                <w:sz w:val="20"/>
                <w:szCs w:val="20"/>
              </w:rPr>
            </w:pPr>
          </w:p>
        </w:tc>
        <w:tc>
          <w:tcPr>
            <w:tcW w:w="1667" w:type="pct"/>
            <w:vAlign w:val="center"/>
          </w:tcPr>
          <w:p w14:paraId="41AC57DF" w14:textId="77777777" w:rsidR="00AC73FF" w:rsidRPr="006858F7" w:rsidRDefault="00AC73FF" w:rsidP="00AC73FF">
            <w:pPr>
              <w:pStyle w:val="Sinespaciado"/>
              <w:jc w:val="center"/>
              <w:rPr>
                <w:rFonts w:ascii="Century Gothic" w:hAnsi="Century Gothic" w:cs="Times New Roman"/>
                <w:sz w:val="20"/>
                <w:szCs w:val="20"/>
              </w:rPr>
            </w:pPr>
            <w:r w:rsidRPr="006858F7">
              <w:rPr>
                <w:rFonts w:ascii="Century Gothic" w:hAnsi="Century Gothic" w:cs="Times New Roman"/>
                <w:b/>
                <w:sz w:val="20"/>
                <w:szCs w:val="20"/>
              </w:rPr>
              <w:t>Se propone el mismo texto aprobado en Comisión Primera de la Cámara de Representantes</w:t>
            </w:r>
          </w:p>
        </w:tc>
        <w:tc>
          <w:tcPr>
            <w:tcW w:w="1666" w:type="pct"/>
            <w:vAlign w:val="center"/>
          </w:tcPr>
          <w:p w14:paraId="0BB3EA92" w14:textId="77777777" w:rsidR="00AC73FF" w:rsidRPr="006858F7" w:rsidRDefault="00AC73FF" w:rsidP="00AC73FF">
            <w:pPr>
              <w:pStyle w:val="Sinespaciado"/>
              <w:jc w:val="center"/>
              <w:rPr>
                <w:rFonts w:ascii="Century Gothic" w:hAnsi="Century Gothic" w:cs="Times New Roman"/>
                <w:b/>
                <w:sz w:val="20"/>
                <w:szCs w:val="20"/>
              </w:rPr>
            </w:pPr>
            <w:r w:rsidRPr="006858F7">
              <w:rPr>
                <w:rFonts w:ascii="Century Gothic" w:hAnsi="Century Gothic" w:cs="Times New Roman"/>
                <w:b/>
                <w:sz w:val="20"/>
                <w:szCs w:val="20"/>
              </w:rPr>
              <w:t>Se propone el mismo texto aprobado en Comisión Primera de la Cámara de Representantes</w:t>
            </w:r>
          </w:p>
        </w:tc>
      </w:tr>
      <w:tr w:rsidR="00F8685B" w:rsidRPr="006858F7" w14:paraId="3B1E5A9F" w14:textId="77777777" w:rsidTr="003C2097">
        <w:tc>
          <w:tcPr>
            <w:tcW w:w="1667" w:type="pct"/>
          </w:tcPr>
          <w:p w14:paraId="314E6767" w14:textId="77777777" w:rsidR="00AC73FF" w:rsidRPr="006858F7" w:rsidRDefault="006F3948" w:rsidP="00AC73FF">
            <w:pPr>
              <w:pStyle w:val="Sinespaciado"/>
              <w:rPr>
                <w:rFonts w:ascii="Century Gothic" w:hAnsi="Century Gothic" w:cs="Times New Roman"/>
                <w:sz w:val="20"/>
                <w:szCs w:val="20"/>
              </w:rPr>
            </w:pPr>
            <w:r w:rsidRPr="006858F7">
              <w:rPr>
                <w:rFonts w:ascii="Century Gothic" w:hAnsi="Century Gothic" w:cs="Times New Roman"/>
                <w:b/>
                <w:sz w:val="20"/>
                <w:szCs w:val="20"/>
              </w:rPr>
              <w:t xml:space="preserve">Artículo </w:t>
            </w:r>
            <w:r w:rsidR="003D3058" w:rsidRPr="006858F7">
              <w:rPr>
                <w:rFonts w:ascii="Century Gothic" w:hAnsi="Century Gothic" w:cs="Times New Roman"/>
                <w:b/>
                <w:sz w:val="20"/>
                <w:szCs w:val="20"/>
              </w:rPr>
              <w:t>6</w:t>
            </w:r>
            <w:r w:rsidR="00AC73FF" w:rsidRPr="006858F7">
              <w:rPr>
                <w:rFonts w:ascii="Century Gothic" w:hAnsi="Century Gothic" w:cs="Times New Roman"/>
                <w:b/>
                <w:sz w:val="20"/>
                <w:szCs w:val="20"/>
              </w:rPr>
              <w:t>°. Vigencia.</w:t>
            </w:r>
            <w:r w:rsidR="00AC73FF" w:rsidRPr="006858F7">
              <w:rPr>
                <w:rFonts w:ascii="Century Gothic" w:hAnsi="Century Gothic" w:cs="Times New Roman"/>
                <w:sz w:val="20"/>
                <w:szCs w:val="20"/>
              </w:rPr>
              <w:t xml:space="preserve"> La presente ley rige a partir de su promulgación y deroga todas las disposiciones que le sean contrarias.</w:t>
            </w:r>
          </w:p>
          <w:p w14:paraId="27E1B7DB" w14:textId="77777777" w:rsidR="00AC73FF" w:rsidRPr="006858F7" w:rsidRDefault="00AC73FF" w:rsidP="00AC73FF">
            <w:pPr>
              <w:pStyle w:val="Sinespaciado"/>
              <w:rPr>
                <w:rFonts w:ascii="Century Gothic" w:hAnsi="Century Gothic" w:cs="Times New Roman"/>
                <w:b/>
                <w:sz w:val="20"/>
                <w:szCs w:val="20"/>
              </w:rPr>
            </w:pPr>
          </w:p>
        </w:tc>
        <w:tc>
          <w:tcPr>
            <w:tcW w:w="1667" w:type="pct"/>
            <w:vAlign w:val="center"/>
          </w:tcPr>
          <w:p w14:paraId="19571372" w14:textId="77777777" w:rsidR="00AC73FF" w:rsidRPr="006858F7" w:rsidRDefault="00AC73FF" w:rsidP="00AC73FF">
            <w:pPr>
              <w:pStyle w:val="Sinespaciado"/>
              <w:jc w:val="center"/>
              <w:rPr>
                <w:rFonts w:ascii="Century Gothic" w:hAnsi="Century Gothic" w:cs="Times New Roman"/>
                <w:sz w:val="20"/>
                <w:szCs w:val="20"/>
              </w:rPr>
            </w:pPr>
            <w:r w:rsidRPr="006858F7">
              <w:rPr>
                <w:rFonts w:ascii="Century Gothic" w:hAnsi="Century Gothic" w:cs="Times New Roman"/>
                <w:b/>
                <w:sz w:val="20"/>
                <w:szCs w:val="20"/>
              </w:rPr>
              <w:t>Se propone el mismo texto aprobado en Comisión Primera de la Cámara de Representantes</w:t>
            </w:r>
          </w:p>
        </w:tc>
        <w:tc>
          <w:tcPr>
            <w:tcW w:w="1666" w:type="pct"/>
            <w:vAlign w:val="center"/>
          </w:tcPr>
          <w:p w14:paraId="3C91A972" w14:textId="77777777" w:rsidR="00AC73FF" w:rsidRPr="006858F7" w:rsidRDefault="00AC73FF" w:rsidP="00AC73FF">
            <w:pPr>
              <w:pStyle w:val="Sinespaciado"/>
              <w:jc w:val="center"/>
              <w:rPr>
                <w:rFonts w:ascii="Century Gothic" w:hAnsi="Century Gothic" w:cs="Times New Roman"/>
                <w:b/>
                <w:sz w:val="20"/>
                <w:szCs w:val="20"/>
              </w:rPr>
            </w:pPr>
            <w:r w:rsidRPr="006858F7">
              <w:rPr>
                <w:rFonts w:ascii="Century Gothic" w:hAnsi="Century Gothic" w:cs="Times New Roman"/>
                <w:b/>
                <w:sz w:val="20"/>
                <w:szCs w:val="20"/>
              </w:rPr>
              <w:t>Se propone el mismo texto aprobado en Comisión Primera de la Cámara de Representantes</w:t>
            </w:r>
          </w:p>
        </w:tc>
      </w:tr>
    </w:tbl>
    <w:p w14:paraId="63B8D99D" w14:textId="77777777" w:rsidR="00B86A5F" w:rsidRPr="006858F7" w:rsidRDefault="00B86A5F" w:rsidP="002C3004">
      <w:pPr>
        <w:pStyle w:val="Ttulo1"/>
        <w:numPr>
          <w:ilvl w:val="0"/>
          <w:numId w:val="1"/>
        </w:numPr>
        <w:rPr>
          <w:rFonts w:ascii="Century Gothic" w:hAnsi="Century Gothic" w:cs="Times New Roman"/>
          <w:sz w:val="22"/>
        </w:rPr>
      </w:pPr>
      <w:r w:rsidRPr="006858F7">
        <w:rPr>
          <w:rFonts w:ascii="Century Gothic" w:hAnsi="Century Gothic" w:cs="Times New Roman"/>
          <w:sz w:val="22"/>
        </w:rPr>
        <w:t>PROPOSICIÓN</w:t>
      </w:r>
    </w:p>
    <w:p w14:paraId="0C04C122" w14:textId="29C05F65" w:rsidR="003D3058" w:rsidRPr="006858F7" w:rsidRDefault="00F36849" w:rsidP="00B86A5F">
      <w:pPr>
        <w:rPr>
          <w:rFonts w:ascii="Century Gothic" w:hAnsi="Century Gothic" w:cs="Times New Roman"/>
          <w:sz w:val="22"/>
        </w:rPr>
      </w:pPr>
      <w:r w:rsidRPr="006858F7">
        <w:rPr>
          <w:rFonts w:ascii="Century Gothic" w:hAnsi="Century Gothic" w:cs="Times New Roman"/>
          <w:sz w:val="22"/>
        </w:rPr>
        <w:t>Como consecuen</w:t>
      </w:r>
      <w:r w:rsidR="00123F63" w:rsidRPr="006858F7">
        <w:rPr>
          <w:rFonts w:ascii="Century Gothic" w:hAnsi="Century Gothic" w:cs="Times New Roman"/>
          <w:sz w:val="22"/>
        </w:rPr>
        <w:t xml:space="preserve">cia de lo expuesto, propongo a </w:t>
      </w:r>
      <w:r w:rsidRPr="006858F7">
        <w:rPr>
          <w:rFonts w:ascii="Century Gothic" w:hAnsi="Century Gothic" w:cs="Times New Roman"/>
          <w:sz w:val="22"/>
        </w:rPr>
        <w:t>la</w:t>
      </w:r>
      <w:r w:rsidR="00947D4B" w:rsidRPr="006858F7">
        <w:rPr>
          <w:rFonts w:ascii="Century Gothic" w:hAnsi="Century Gothic" w:cs="Times New Roman"/>
          <w:sz w:val="22"/>
        </w:rPr>
        <w:t xml:space="preserve"> Plenaria</w:t>
      </w:r>
      <w:r w:rsidRPr="006858F7">
        <w:rPr>
          <w:rFonts w:ascii="Century Gothic" w:hAnsi="Century Gothic" w:cs="Times New Roman"/>
          <w:sz w:val="22"/>
        </w:rPr>
        <w:t xml:space="preserve"> </w:t>
      </w:r>
      <w:r w:rsidR="00123F63" w:rsidRPr="006858F7">
        <w:rPr>
          <w:rFonts w:ascii="Century Gothic" w:hAnsi="Century Gothic" w:cs="Times New Roman"/>
          <w:sz w:val="22"/>
        </w:rPr>
        <w:t xml:space="preserve">de la </w:t>
      </w:r>
      <w:r w:rsidRPr="006858F7">
        <w:rPr>
          <w:rFonts w:ascii="Century Gothic" w:hAnsi="Century Gothic" w:cs="Times New Roman"/>
          <w:sz w:val="22"/>
        </w:rPr>
        <w:t xml:space="preserve">Cámara de Representantes </w:t>
      </w:r>
      <w:r w:rsidR="00123F63" w:rsidRPr="006858F7">
        <w:rPr>
          <w:rFonts w:ascii="Century Gothic" w:hAnsi="Century Gothic" w:cs="Times New Roman"/>
          <w:sz w:val="22"/>
        </w:rPr>
        <w:t xml:space="preserve">dar lugar al </w:t>
      </w:r>
      <w:r w:rsidR="00B973C8" w:rsidRPr="006858F7">
        <w:rPr>
          <w:rFonts w:ascii="Century Gothic" w:hAnsi="Century Gothic" w:cs="Times New Roman"/>
          <w:sz w:val="22"/>
        </w:rPr>
        <w:t>segundo</w:t>
      </w:r>
      <w:r w:rsidR="00123F63" w:rsidRPr="006858F7">
        <w:rPr>
          <w:rFonts w:ascii="Century Gothic" w:hAnsi="Century Gothic" w:cs="Times New Roman"/>
          <w:sz w:val="22"/>
        </w:rPr>
        <w:t xml:space="preserve"> debate del Proyecto de Ley número </w:t>
      </w:r>
      <w:r w:rsidR="00801AB6" w:rsidRPr="006858F7">
        <w:rPr>
          <w:rFonts w:ascii="Century Gothic" w:hAnsi="Century Gothic" w:cs="Times New Roman"/>
          <w:sz w:val="22"/>
        </w:rPr>
        <w:t xml:space="preserve">201 de 2018 Cámara/ </w:t>
      </w:r>
      <w:r w:rsidR="00123F63" w:rsidRPr="006858F7">
        <w:rPr>
          <w:rFonts w:ascii="Century Gothic" w:hAnsi="Century Gothic" w:cs="Times New Roman"/>
          <w:sz w:val="22"/>
        </w:rPr>
        <w:t>139 de 2017</w:t>
      </w:r>
      <w:r w:rsidR="00801AB6" w:rsidRPr="006858F7">
        <w:rPr>
          <w:rFonts w:ascii="Century Gothic" w:hAnsi="Century Gothic" w:cs="Times New Roman"/>
          <w:sz w:val="22"/>
        </w:rPr>
        <w:t xml:space="preserve"> Senado</w:t>
      </w:r>
      <w:r w:rsidR="00123F63" w:rsidRPr="006858F7">
        <w:rPr>
          <w:rFonts w:ascii="Century Gothic" w:hAnsi="Century Gothic" w:cs="Times New Roman"/>
          <w:sz w:val="22"/>
        </w:rPr>
        <w:t xml:space="preserve"> “</w:t>
      </w:r>
      <w:r w:rsidR="00123F63" w:rsidRPr="00355B08">
        <w:rPr>
          <w:rFonts w:ascii="Century Gothic" w:hAnsi="Century Gothic" w:cs="Times New Roman"/>
          <w:i/>
          <w:sz w:val="22"/>
        </w:rPr>
        <w:t>Por medio de la cual se modifican y adicionan artículos de la Ley 599 de 2000 y la Ley 906 de 2004 en relación con el delito de violencia intrafamiliar”</w:t>
      </w:r>
      <w:r w:rsidR="00123F63" w:rsidRPr="006858F7">
        <w:rPr>
          <w:rFonts w:ascii="Century Gothic" w:hAnsi="Century Gothic" w:cs="Times New Roman"/>
          <w:sz w:val="22"/>
        </w:rPr>
        <w:t xml:space="preserve"> en los términos del pliego de modificaciones propuesto.</w:t>
      </w:r>
    </w:p>
    <w:p w14:paraId="05219035" w14:textId="5418642E" w:rsidR="003D3058" w:rsidRPr="00355B08" w:rsidRDefault="00B86A5F" w:rsidP="00355B08">
      <w:pPr>
        <w:rPr>
          <w:rFonts w:ascii="Century Gothic" w:hAnsi="Century Gothic" w:cs="Times New Roman"/>
          <w:sz w:val="22"/>
        </w:rPr>
      </w:pPr>
      <w:r w:rsidRPr="006858F7">
        <w:rPr>
          <w:rFonts w:ascii="Century Gothic" w:hAnsi="Century Gothic" w:cs="Times New Roman"/>
          <w:sz w:val="22"/>
        </w:rPr>
        <w:t>De los Honorables Representantes,</w:t>
      </w:r>
    </w:p>
    <w:p w14:paraId="73A5E61E" w14:textId="77777777" w:rsidR="003D3058" w:rsidRPr="006858F7" w:rsidRDefault="003D3058" w:rsidP="00B86A5F">
      <w:pPr>
        <w:spacing w:before="0" w:after="0"/>
        <w:rPr>
          <w:rFonts w:ascii="Century Gothic" w:hAnsi="Century Gothic" w:cs="Times New Roman"/>
          <w:b/>
          <w:sz w:val="22"/>
        </w:rPr>
      </w:pPr>
    </w:p>
    <w:p w14:paraId="3E79F4D3" w14:textId="19317374" w:rsidR="00B86A5F" w:rsidRPr="006858F7" w:rsidRDefault="00707BA5" w:rsidP="00B86A5F">
      <w:pPr>
        <w:spacing w:before="0" w:after="0"/>
        <w:rPr>
          <w:rFonts w:ascii="Century Gothic" w:hAnsi="Century Gothic" w:cs="Times New Roman"/>
          <w:b/>
          <w:sz w:val="22"/>
        </w:rPr>
      </w:pPr>
      <w:r w:rsidRPr="006858F7">
        <w:rPr>
          <w:rFonts w:ascii="Century Gothic" w:hAnsi="Century Gothic" w:cs="Times New Roman"/>
          <w:b/>
          <w:sz w:val="22"/>
        </w:rPr>
        <w:t>ADRIANA MAGALI MATIZ VARGAS</w:t>
      </w:r>
    </w:p>
    <w:p w14:paraId="67B21A17" w14:textId="0524396F" w:rsidR="00B86A5F" w:rsidRPr="006858F7" w:rsidRDefault="00B86A5F" w:rsidP="00B86A5F">
      <w:pPr>
        <w:spacing w:before="0" w:after="0"/>
        <w:rPr>
          <w:rFonts w:ascii="Century Gothic" w:hAnsi="Century Gothic" w:cs="Times New Roman"/>
          <w:sz w:val="22"/>
        </w:rPr>
      </w:pPr>
      <w:r w:rsidRPr="006858F7">
        <w:rPr>
          <w:rFonts w:ascii="Century Gothic" w:hAnsi="Century Gothic" w:cs="Times New Roman"/>
          <w:sz w:val="22"/>
        </w:rPr>
        <w:t>Representante</w:t>
      </w:r>
      <w:r w:rsidR="006858F7">
        <w:rPr>
          <w:rFonts w:ascii="Century Gothic" w:hAnsi="Century Gothic" w:cs="Times New Roman"/>
          <w:sz w:val="22"/>
        </w:rPr>
        <w:t xml:space="preserve"> a la Cámara</w:t>
      </w:r>
    </w:p>
    <w:p w14:paraId="369FE396" w14:textId="77777777" w:rsidR="00B86A5F" w:rsidRPr="006858F7" w:rsidRDefault="00B86A5F" w:rsidP="00B86A5F">
      <w:pPr>
        <w:spacing w:before="0" w:after="0"/>
        <w:rPr>
          <w:rFonts w:ascii="Century Gothic" w:hAnsi="Century Gothic" w:cs="Times New Roman"/>
          <w:sz w:val="22"/>
        </w:rPr>
      </w:pPr>
      <w:r w:rsidRPr="006858F7">
        <w:rPr>
          <w:rFonts w:ascii="Century Gothic" w:hAnsi="Century Gothic" w:cs="Times New Roman"/>
          <w:sz w:val="22"/>
        </w:rPr>
        <w:t>Comisión Primera Constitucional</w:t>
      </w:r>
    </w:p>
    <w:p w14:paraId="2EEAB54E" w14:textId="77777777" w:rsidR="00B86A5F" w:rsidRPr="00F8685B" w:rsidRDefault="00B86A5F" w:rsidP="00B86A5F">
      <w:pPr>
        <w:rPr>
          <w:rFonts w:cs="Times New Roman"/>
          <w:szCs w:val="24"/>
        </w:rPr>
      </w:pPr>
      <w:r w:rsidRPr="00F8685B">
        <w:rPr>
          <w:rFonts w:cs="Times New Roman"/>
          <w:szCs w:val="24"/>
        </w:rPr>
        <w:br w:type="page"/>
      </w:r>
    </w:p>
    <w:p w14:paraId="7D3A3392" w14:textId="77777777" w:rsidR="00B86A5F" w:rsidRPr="006858F7" w:rsidRDefault="000272BF" w:rsidP="00B86A5F">
      <w:pPr>
        <w:spacing w:before="0" w:after="0"/>
        <w:jc w:val="center"/>
        <w:rPr>
          <w:rFonts w:ascii="Century Gothic" w:hAnsi="Century Gothic" w:cs="Times New Roman"/>
          <w:b/>
          <w:sz w:val="22"/>
        </w:rPr>
      </w:pPr>
      <w:r w:rsidRPr="006858F7">
        <w:rPr>
          <w:rFonts w:ascii="Century Gothic" w:hAnsi="Century Gothic" w:cs="Times New Roman"/>
          <w:b/>
          <w:sz w:val="22"/>
        </w:rPr>
        <w:t>TEXTO PROPUESTO PARA SEGUNDO DEBATE EN PLENARIA DE LA CÁMARA DE REPRESENTANTES</w:t>
      </w:r>
      <w:r w:rsidR="00B86A5F" w:rsidRPr="006858F7">
        <w:rPr>
          <w:rFonts w:ascii="Century Gothic" w:hAnsi="Century Gothic" w:cs="Times New Roman"/>
          <w:b/>
          <w:sz w:val="22"/>
        </w:rPr>
        <w:t xml:space="preserve">, DEL PROYECTO DE LEY </w:t>
      </w:r>
      <w:r w:rsidR="00D13332" w:rsidRPr="006858F7">
        <w:rPr>
          <w:rFonts w:ascii="Century Gothic" w:hAnsi="Century Gothic" w:cs="Times New Roman"/>
          <w:b/>
          <w:sz w:val="22"/>
        </w:rPr>
        <w:t>NÚMERO 201 DE 2018 CÁMARA/ 139 DE 2017 SENADO</w:t>
      </w:r>
      <w:r w:rsidR="00B86A5F" w:rsidRPr="006858F7">
        <w:rPr>
          <w:rFonts w:ascii="Century Gothic" w:hAnsi="Century Gothic" w:cs="Times New Roman"/>
          <w:b/>
          <w:sz w:val="22"/>
        </w:rPr>
        <w:t>, “POR MEDIO DE LA CUAL SE MODIFICAN Y ADICIONAN ARTÍCULOS DE LA LEY 599 DE 2000 Y LA LEY 906 DE 2004 EN RELACIÓN CON EL DELITO DE VIOLENCIA INTRAFAMILIAR”</w:t>
      </w:r>
    </w:p>
    <w:p w14:paraId="3CD957C2" w14:textId="77777777" w:rsidR="00B86A5F" w:rsidRPr="006858F7" w:rsidRDefault="00B86A5F" w:rsidP="00B86A5F">
      <w:pPr>
        <w:spacing w:before="0" w:after="0"/>
        <w:jc w:val="center"/>
        <w:rPr>
          <w:rFonts w:ascii="Century Gothic" w:hAnsi="Century Gothic" w:cs="Times New Roman"/>
          <w:b/>
          <w:sz w:val="22"/>
        </w:rPr>
      </w:pPr>
    </w:p>
    <w:p w14:paraId="790880B8" w14:textId="77777777" w:rsidR="00B86A5F" w:rsidRPr="006858F7" w:rsidRDefault="00B86A5F" w:rsidP="00B86A5F">
      <w:pPr>
        <w:spacing w:before="0" w:after="0"/>
        <w:jc w:val="center"/>
        <w:rPr>
          <w:rFonts w:ascii="Century Gothic" w:hAnsi="Century Gothic" w:cs="Times New Roman"/>
          <w:b/>
          <w:sz w:val="22"/>
        </w:rPr>
      </w:pPr>
    </w:p>
    <w:p w14:paraId="563F0B7A" w14:textId="77777777" w:rsidR="00B86A5F" w:rsidRPr="006858F7" w:rsidRDefault="00B86A5F" w:rsidP="00B86A5F">
      <w:pPr>
        <w:spacing w:before="0" w:after="0"/>
        <w:jc w:val="center"/>
        <w:rPr>
          <w:rFonts w:ascii="Century Gothic" w:hAnsi="Century Gothic" w:cs="Times New Roman"/>
          <w:b/>
          <w:sz w:val="22"/>
        </w:rPr>
      </w:pPr>
      <w:r w:rsidRPr="006858F7">
        <w:rPr>
          <w:rFonts w:ascii="Century Gothic" w:hAnsi="Century Gothic" w:cs="Times New Roman"/>
          <w:b/>
          <w:sz w:val="22"/>
        </w:rPr>
        <w:t>EL CONGRESO DE LA REPÚBLICA</w:t>
      </w:r>
    </w:p>
    <w:p w14:paraId="4BA8323E" w14:textId="77777777" w:rsidR="00B86A5F" w:rsidRPr="006858F7" w:rsidRDefault="00B86A5F" w:rsidP="00B86A5F">
      <w:pPr>
        <w:spacing w:before="0" w:after="0"/>
        <w:jc w:val="center"/>
        <w:rPr>
          <w:rFonts w:ascii="Century Gothic" w:hAnsi="Century Gothic" w:cs="Times New Roman"/>
          <w:b/>
          <w:sz w:val="22"/>
        </w:rPr>
      </w:pPr>
    </w:p>
    <w:p w14:paraId="0E9C5615" w14:textId="77777777" w:rsidR="00B86A5F" w:rsidRPr="006858F7" w:rsidRDefault="00B86A5F" w:rsidP="00B86A5F">
      <w:pPr>
        <w:spacing w:before="0" w:after="0"/>
        <w:jc w:val="center"/>
        <w:rPr>
          <w:rFonts w:ascii="Century Gothic" w:hAnsi="Century Gothic" w:cs="Times New Roman"/>
          <w:b/>
          <w:sz w:val="22"/>
        </w:rPr>
      </w:pPr>
    </w:p>
    <w:p w14:paraId="1E9F2A24" w14:textId="77777777" w:rsidR="00B86A5F" w:rsidRPr="006858F7" w:rsidRDefault="00B86A5F" w:rsidP="00B86A5F">
      <w:pPr>
        <w:spacing w:before="0" w:after="0"/>
        <w:jc w:val="center"/>
        <w:rPr>
          <w:rFonts w:ascii="Century Gothic" w:hAnsi="Century Gothic" w:cs="Times New Roman"/>
          <w:b/>
          <w:sz w:val="22"/>
        </w:rPr>
      </w:pPr>
      <w:r w:rsidRPr="006858F7">
        <w:rPr>
          <w:rFonts w:ascii="Century Gothic" w:hAnsi="Century Gothic" w:cs="Times New Roman"/>
          <w:b/>
          <w:sz w:val="22"/>
        </w:rPr>
        <w:t>DECRETA,</w:t>
      </w:r>
    </w:p>
    <w:p w14:paraId="5B2057A1" w14:textId="77777777" w:rsidR="00B86A5F" w:rsidRPr="006858F7" w:rsidRDefault="00B86A5F" w:rsidP="00B86A5F">
      <w:pPr>
        <w:rPr>
          <w:rFonts w:ascii="Century Gothic" w:hAnsi="Century Gothic" w:cs="Times New Roman"/>
          <w:sz w:val="22"/>
        </w:rPr>
      </w:pPr>
    </w:p>
    <w:p w14:paraId="02CEB04E"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Artículo 1°.</w:t>
      </w:r>
      <w:r w:rsidRPr="006858F7">
        <w:rPr>
          <w:rFonts w:ascii="Century Gothic" w:hAnsi="Century Gothic" w:cs="Times New Roman"/>
          <w:sz w:val="22"/>
        </w:rPr>
        <w:t xml:space="preserve"> Modifíquese el artículo 229 de la Ley 559 de 2000, el cual quedará así:</w:t>
      </w:r>
    </w:p>
    <w:p w14:paraId="4E4E5AA1" w14:textId="77777777" w:rsidR="00B86A5F" w:rsidRPr="006858F7" w:rsidRDefault="00B86A5F" w:rsidP="00B86A5F">
      <w:pPr>
        <w:pStyle w:val="Sinespaciado"/>
        <w:rPr>
          <w:rFonts w:ascii="Century Gothic" w:hAnsi="Century Gothic" w:cs="Times New Roman"/>
          <w:sz w:val="22"/>
        </w:rPr>
      </w:pPr>
    </w:p>
    <w:p w14:paraId="2EF7B878"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Artículo 229. Violencia intrafamiliar.</w:t>
      </w:r>
      <w:r w:rsidRPr="006858F7">
        <w:rPr>
          <w:rFonts w:ascii="Century Gothic" w:hAnsi="Century Gothic" w:cs="Times New Roman"/>
          <w:sz w:val="22"/>
        </w:rPr>
        <w:t xml:space="preserve"> El que maltrate física o psicológicamente a cualquier miembro de su núcleo familiar incurrirá, siempre que la conducta no constituya delito sancionado con pena mayor, en prisión de cuatro (4) a ocho (8) años.</w:t>
      </w:r>
    </w:p>
    <w:p w14:paraId="706CA63D" w14:textId="77777777" w:rsidR="00B86A5F" w:rsidRPr="006858F7" w:rsidRDefault="00B86A5F" w:rsidP="00B86A5F">
      <w:pPr>
        <w:pStyle w:val="Sinespaciado"/>
        <w:rPr>
          <w:rFonts w:ascii="Century Gothic" w:hAnsi="Century Gothic" w:cs="Times New Roman"/>
          <w:sz w:val="22"/>
        </w:rPr>
      </w:pPr>
    </w:p>
    <w:p w14:paraId="1332596A"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La pena se aumentará de la mitad a las tres cuartas partes cuando la conducta recaiga sobre un menor, adolescente, una mujer, una persona mayor de sesenta (60) años, o que se encuentre en incapacidad o disminución física, sensorial y psicológica o quien se encuentre en estado de indefensión o en cualquier condición de inferioridad.</w:t>
      </w:r>
    </w:p>
    <w:p w14:paraId="0D9CF6AD" w14:textId="77777777" w:rsidR="00B86A5F" w:rsidRPr="006858F7" w:rsidRDefault="00B86A5F" w:rsidP="00B86A5F">
      <w:pPr>
        <w:pStyle w:val="Sinespaciado"/>
        <w:rPr>
          <w:rFonts w:ascii="Century Gothic" w:hAnsi="Century Gothic" w:cs="Times New Roman"/>
          <w:sz w:val="22"/>
        </w:rPr>
      </w:pPr>
    </w:p>
    <w:p w14:paraId="59B0030B" w14:textId="77777777" w:rsidR="00B86A5F" w:rsidRPr="006858F7" w:rsidRDefault="00B86A5F" w:rsidP="00B86A5F">
      <w:pPr>
        <w:pStyle w:val="Sinespaciado"/>
        <w:rPr>
          <w:rFonts w:ascii="Century Gothic" w:hAnsi="Century Gothic" w:cs="Times New Roman"/>
          <w:sz w:val="22"/>
          <w:u w:val="single"/>
        </w:rPr>
      </w:pPr>
      <w:r w:rsidRPr="006858F7">
        <w:rPr>
          <w:rFonts w:ascii="Century Gothic" w:hAnsi="Century Gothic" w:cs="Times New Roman"/>
          <w:sz w:val="22"/>
        </w:rPr>
        <w:t>Cuando el responsable tenga antecedentes penales por haber cometido alguno de los delitos previstos en el libro segundo, Títulos I y IV del Código Penal contra un miembro de su núcleo familiar, o cuando tenga antecedentes por el delito de violencia intrafamiliar, siempre que la condena hubiese sido proferida dentro de los diez (10) años anteriores a la ocurrencia del nuevo hecho, el sentenciador impondrá la pena dentro del cuarto máximo del ámbito punitivo de movilidad respectivo.</w:t>
      </w:r>
      <w:r w:rsidRPr="006858F7">
        <w:rPr>
          <w:rFonts w:ascii="Century Gothic" w:hAnsi="Century Gothic" w:cs="Times New Roman"/>
          <w:sz w:val="22"/>
          <w:u w:val="single"/>
        </w:rPr>
        <w:t xml:space="preserve"> </w:t>
      </w:r>
    </w:p>
    <w:p w14:paraId="50719FAD" w14:textId="77777777" w:rsidR="00B86A5F" w:rsidRPr="006858F7" w:rsidRDefault="00B86A5F" w:rsidP="00B86A5F">
      <w:pPr>
        <w:pStyle w:val="Sinespaciado"/>
        <w:rPr>
          <w:rFonts w:ascii="Century Gothic" w:hAnsi="Century Gothic" w:cs="Times New Roman"/>
          <w:sz w:val="22"/>
          <w:u w:val="single"/>
        </w:rPr>
      </w:pPr>
    </w:p>
    <w:p w14:paraId="32079228"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Parágrafo.</w:t>
      </w:r>
      <w:r w:rsidRPr="006858F7">
        <w:rPr>
          <w:rFonts w:ascii="Century Gothic" w:hAnsi="Century Gothic" w:cs="Times New Roman"/>
          <w:sz w:val="22"/>
        </w:rPr>
        <w:t xml:space="preserve"> A la misma pena quedará sometido quien realice alguna de las conductas descritas en el tipo penal previsto en este artículo contra:</w:t>
      </w:r>
    </w:p>
    <w:p w14:paraId="677EC7FE" w14:textId="77777777" w:rsidR="00B86A5F" w:rsidRPr="006858F7" w:rsidRDefault="00B86A5F" w:rsidP="00B86A5F">
      <w:pPr>
        <w:pStyle w:val="Sinespaciado"/>
        <w:rPr>
          <w:rFonts w:ascii="Century Gothic" w:hAnsi="Century Gothic" w:cs="Times New Roman"/>
          <w:sz w:val="22"/>
        </w:rPr>
      </w:pPr>
    </w:p>
    <w:p w14:paraId="05CB55B6"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a) Los cónyuges o compañeros permanentes, aunque se hubieren separado o divorciado;</w:t>
      </w:r>
    </w:p>
    <w:p w14:paraId="64A3D2F3" w14:textId="77777777" w:rsidR="00B86A5F" w:rsidRPr="006858F7" w:rsidRDefault="00B86A5F" w:rsidP="00B86A5F">
      <w:pPr>
        <w:pStyle w:val="Sinespaciado"/>
        <w:rPr>
          <w:rFonts w:ascii="Century Gothic" w:hAnsi="Century Gothic" w:cs="Times New Roman"/>
          <w:sz w:val="22"/>
        </w:rPr>
      </w:pPr>
    </w:p>
    <w:p w14:paraId="7BE09814"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b) El padre y la madre de familia, aun cuando no convivan en el mismo hogar, si el maltrato se dirige contra el otro progenitor</w:t>
      </w:r>
    </w:p>
    <w:p w14:paraId="7237355E" w14:textId="77777777" w:rsidR="00B86A5F" w:rsidRPr="006858F7" w:rsidRDefault="00B86A5F" w:rsidP="00B86A5F">
      <w:pPr>
        <w:pStyle w:val="Sinespaciado"/>
        <w:rPr>
          <w:rFonts w:ascii="Century Gothic" w:hAnsi="Century Gothic" w:cs="Times New Roman"/>
          <w:sz w:val="22"/>
        </w:rPr>
      </w:pPr>
    </w:p>
    <w:p w14:paraId="4B074BF6"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c) Quien, no siendo miembro del núcleo familiar, sea encargado del cuidado de uno o varios miembros de una familia en su domicilio, residencia o cualquier lugar en el que se realice la conducta.</w:t>
      </w:r>
    </w:p>
    <w:p w14:paraId="71F9FD19" w14:textId="77777777" w:rsidR="00B86A5F" w:rsidRPr="006858F7" w:rsidRDefault="00B86A5F" w:rsidP="00B86A5F">
      <w:pPr>
        <w:pStyle w:val="Sinespaciado"/>
        <w:rPr>
          <w:rFonts w:ascii="Century Gothic" w:hAnsi="Century Gothic" w:cs="Times New Roman"/>
          <w:sz w:val="22"/>
        </w:rPr>
      </w:pPr>
    </w:p>
    <w:p w14:paraId="1E6F9508" w14:textId="77777777" w:rsidR="00B86A5F" w:rsidRPr="006858F7" w:rsidRDefault="00B86A5F" w:rsidP="00B86A5F">
      <w:pPr>
        <w:pStyle w:val="Sinespaciado"/>
        <w:rPr>
          <w:rFonts w:ascii="Century Gothic" w:hAnsi="Century Gothic" w:cs="Times New Roman"/>
          <w:sz w:val="22"/>
          <w:lang w:eastAsia="es-CO"/>
        </w:rPr>
      </w:pPr>
      <w:r w:rsidRPr="006858F7">
        <w:rPr>
          <w:rFonts w:ascii="Century Gothic" w:hAnsi="Century Gothic" w:cs="Times New Roman"/>
          <w:sz w:val="22"/>
        </w:rPr>
        <w:t>d) Las personas con las que se sostienen relaciones extramatrimoniales de carácter permanente que se caractericen por una clara e inequívoca vocación de estabilidad.</w:t>
      </w:r>
      <w:r w:rsidRPr="006858F7">
        <w:rPr>
          <w:rFonts w:ascii="Century Gothic" w:hAnsi="Century Gothic" w:cs="Times New Roman"/>
          <w:sz w:val="22"/>
          <w:lang w:eastAsia="es-CO"/>
        </w:rPr>
        <w:t xml:space="preserve"> </w:t>
      </w:r>
    </w:p>
    <w:p w14:paraId="39B50B94" w14:textId="77777777" w:rsidR="00B86A5F" w:rsidRPr="006858F7" w:rsidRDefault="00B86A5F" w:rsidP="00B86A5F">
      <w:pPr>
        <w:pStyle w:val="Sinespaciado"/>
        <w:rPr>
          <w:rFonts w:ascii="Century Gothic" w:hAnsi="Century Gothic" w:cs="Times New Roman"/>
          <w:b/>
          <w:sz w:val="22"/>
        </w:rPr>
      </w:pPr>
    </w:p>
    <w:p w14:paraId="718A0507" w14:textId="77777777" w:rsidR="00FE7380" w:rsidRPr="006858F7" w:rsidRDefault="00FE7380" w:rsidP="00FE7380">
      <w:pPr>
        <w:pStyle w:val="Sinespaciado"/>
        <w:rPr>
          <w:rFonts w:ascii="Century Gothic" w:hAnsi="Century Gothic" w:cs="Times New Roman"/>
          <w:sz w:val="22"/>
        </w:rPr>
      </w:pPr>
      <w:r w:rsidRPr="006858F7">
        <w:rPr>
          <w:rFonts w:ascii="Century Gothic" w:hAnsi="Century Gothic" w:cs="Times New Roman"/>
          <w:b/>
          <w:sz w:val="22"/>
        </w:rPr>
        <w:t>Artículo 2°.</w:t>
      </w:r>
      <w:r w:rsidRPr="006858F7">
        <w:rPr>
          <w:rFonts w:ascii="Century Gothic" w:hAnsi="Century Gothic" w:cs="Times New Roman"/>
          <w:sz w:val="22"/>
        </w:rPr>
        <w:t xml:space="preserve"> Modifíquese el parágrafo del artículo 149 de la Ley 906 de 2004, el cual quedará así:</w:t>
      </w:r>
    </w:p>
    <w:p w14:paraId="56EFDCB2" w14:textId="77777777" w:rsidR="00FE7380" w:rsidRPr="006858F7" w:rsidRDefault="00FE7380" w:rsidP="00FE7380">
      <w:pPr>
        <w:pStyle w:val="Sinespaciado"/>
        <w:rPr>
          <w:rFonts w:ascii="Century Gothic" w:hAnsi="Century Gothic" w:cs="Times New Roman"/>
          <w:sz w:val="22"/>
        </w:rPr>
      </w:pPr>
    </w:p>
    <w:p w14:paraId="4AF27BF2" w14:textId="77777777" w:rsidR="00FE7380" w:rsidRPr="006858F7" w:rsidRDefault="00FE7380" w:rsidP="00FE7380">
      <w:pPr>
        <w:pStyle w:val="Sinespaciado"/>
        <w:rPr>
          <w:rFonts w:ascii="Century Gothic" w:hAnsi="Century Gothic" w:cs="Times New Roman"/>
          <w:sz w:val="22"/>
        </w:rPr>
      </w:pPr>
      <w:r w:rsidRPr="006858F7">
        <w:rPr>
          <w:rFonts w:ascii="Century Gothic" w:hAnsi="Century Gothic" w:cs="Times New Roman"/>
          <w:b/>
          <w:sz w:val="22"/>
        </w:rPr>
        <w:t>Parágrafo.</w:t>
      </w:r>
      <w:r w:rsidRPr="006858F7">
        <w:rPr>
          <w:rFonts w:ascii="Century Gothic" w:hAnsi="Century Gothic" w:cs="Times New Roman"/>
          <w:sz w:val="22"/>
        </w:rPr>
        <w:t xml:space="preserve"> En las actuaciones procesales relativas a los delitos contra la libertad y formación sexual, violencia sexual y violencia intrafamiliar,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los datos personales de la víctima, los de sus descendientes y los de cualquier otra persona que esté bajo su guarda o custodia.</w:t>
      </w:r>
    </w:p>
    <w:p w14:paraId="5389C03D" w14:textId="77777777" w:rsidR="00B86A5F" w:rsidRPr="006858F7" w:rsidRDefault="00B86A5F" w:rsidP="00B86A5F">
      <w:pPr>
        <w:pStyle w:val="Sinespaciado"/>
        <w:rPr>
          <w:rFonts w:ascii="Century Gothic" w:hAnsi="Century Gothic" w:cs="Times New Roman"/>
          <w:sz w:val="22"/>
        </w:rPr>
      </w:pPr>
    </w:p>
    <w:p w14:paraId="66A0CF61"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Artículo 3°.</w:t>
      </w:r>
      <w:r w:rsidRPr="006858F7">
        <w:rPr>
          <w:rFonts w:ascii="Century Gothic" w:hAnsi="Century Gothic" w:cs="Times New Roman"/>
          <w:sz w:val="22"/>
        </w:rPr>
        <w:t xml:space="preserve"> Modifíquese el numeral 3 y el parágrafo 3° del artículo 284 de la Ley 906 de 2004, relativo a la Prueba anticipada, los cuales quedarán así:</w:t>
      </w:r>
    </w:p>
    <w:p w14:paraId="4240B9AB" w14:textId="77777777" w:rsidR="00B86A5F" w:rsidRPr="006858F7" w:rsidRDefault="00B86A5F" w:rsidP="00B86A5F">
      <w:pPr>
        <w:pStyle w:val="Sinespaciado"/>
        <w:rPr>
          <w:rFonts w:ascii="Century Gothic" w:hAnsi="Century Gothic" w:cs="Times New Roman"/>
          <w:sz w:val="22"/>
        </w:rPr>
      </w:pPr>
    </w:p>
    <w:p w14:paraId="481FB182"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Artículo 284. Prueba anticipada.</w:t>
      </w:r>
      <w:r w:rsidRPr="006858F7">
        <w:rPr>
          <w:rFonts w:ascii="Century Gothic" w:hAnsi="Century Gothic" w:cs="Times New Roman"/>
          <w:sz w:val="22"/>
        </w:rPr>
        <w:t xml:space="preserve"> Durante la investigación y hasta antes de la instalación de la audiencia de juicio oral se podrá practicar anticipadamente cualquier medio de prueba pertinente, con el cumplimiento de los siguientes requisitos:</w:t>
      </w:r>
    </w:p>
    <w:p w14:paraId="02E9A0A5" w14:textId="77777777" w:rsidR="00B86A5F" w:rsidRPr="006858F7" w:rsidRDefault="00B86A5F" w:rsidP="00B86A5F">
      <w:pPr>
        <w:pStyle w:val="Sinespaciado"/>
        <w:rPr>
          <w:rFonts w:ascii="Century Gothic" w:hAnsi="Century Gothic" w:cs="Times New Roman"/>
          <w:sz w:val="22"/>
        </w:rPr>
      </w:pPr>
    </w:p>
    <w:p w14:paraId="57C49A4E"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1. Que sea practicada ante el juez que cumpla funciones de control de garantías.</w:t>
      </w:r>
    </w:p>
    <w:p w14:paraId="2C607D4E" w14:textId="77777777" w:rsidR="00B86A5F" w:rsidRPr="006858F7" w:rsidRDefault="00B86A5F" w:rsidP="00B86A5F">
      <w:pPr>
        <w:pStyle w:val="Sinespaciado"/>
        <w:rPr>
          <w:rFonts w:ascii="Century Gothic" w:hAnsi="Century Gothic" w:cs="Times New Roman"/>
          <w:sz w:val="22"/>
        </w:rPr>
      </w:pPr>
    </w:p>
    <w:p w14:paraId="0CB3D116"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2. Que sea solicitada por el Fiscal General o el fiscal delegado, por la defensa o por el Ministerio Público en los casos previstos en el artículo 112.</w:t>
      </w:r>
    </w:p>
    <w:p w14:paraId="6968F1DC" w14:textId="77777777" w:rsidR="00B86A5F" w:rsidRPr="006858F7" w:rsidRDefault="00B86A5F" w:rsidP="00B86A5F">
      <w:pPr>
        <w:pStyle w:val="Sinespaciado"/>
        <w:rPr>
          <w:rFonts w:ascii="Century Gothic" w:hAnsi="Century Gothic" w:cs="Times New Roman"/>
          <w:sz w:val="22"/>
        </w:rPr>
      </w:pPr>
    </w:p>
    <w:p w14:paraId="7A137FF3"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3. Que sea por motivos fundados y de extrema necesidad y para evitar la pérdida o alteración del medio probatorio, o que se trate de investigaciones que se adelanten por el delito de violencia intrafamiliar.</w:t>
      </w:r>
    </w:p>
    <w:p w14:paraId="59209738" w14:textId="77777777" w:rsidR="00B86A5F" w:rsidRPr="006858F7" w:rsidRDefault="00B86A5F" w:rsidP="00B86A5F">
      <w:pPr>
        <w:pStyle w:val="Sinespaciado"/>
        <w:rPr>
          <w:rFonts w:ascii="Century Gothic" w:hAnsi="Century Gothic" w:cs="Times New Roman"/>
          <w:sz w:val="22"/>
        </w:rPr>
      </w:pPr>
    </w:p>
    <w:p w14:paraId="5256289E"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4. Que se practique en audiencia pública y con observancia de las reglas previstas para la práctica de pruebas en el juicio.</w:t>
      </w:r>
    </w:p>
    <w:p w14:paraId="4E61171B" w14:textId="77777777" w:rsidR="00B86A5F" w:rsidRPr="006858F7" w:rsidRDefault="00B86A5F" w:rsidP="00B86A5F">
      <w:pPr>
        <w:pStyle w:val="Sinespaciado"/>
        <w:rPr>
          <w:rFonts w:ascii="Century Gothic" w:hAnsi="Century Gothic" w:cs="Times New Roman"/>
          <w:sz w:val="22"/>
        </w:rPr>
      </w:pPr>
    </w:p>
    <w:p w14:paraId="7DC03B40"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Parágrafo 1°.</w:t>
      </w:r>
      <w:r w:rsidRPr="006858F7">
        <w:rPr>
          <w:rFonts w:ascii="Century Gothic" w:hAnsi="Century Gothic" w:cs="Times New Roman"/>
          <w:sz w:val="22"/>
        </w:rPr>
        <w:t xml:space="preserve"> Si la prueba anticipada es solicitada a partir de la presentación del escrito de acusación, el peticionario deberá informar de esta circunstancia al juez de conocimiento.</w:t>
      </w:r>
    </w:p>
    <w:p w14:paraId="52ADFB4A" w14:textId="77777777" w:rsidR="00B86A5F" w:rsidRPr="006858F7" w:rsidRDefault="00B86A5F" w:rsidP="00B86A5F">
      <w:pPr>
        <w:pStyle w:val="Sinespaciado"/>
        <w:rPr>
          <w:rFonts w:ascii="Century Gothic" w:hAnsi="Century Gothic" w:cs="Times New Roman"/>
          <w:sz w:val="22"/>
        </w:rPr>
      </w:pPr>
    </w:p>
    <w:p w14:paraId="778E153B"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Parágrafo 2°.</w:t>
      </w:r>
      <w:r w:rsidRPr="006858F7">
        <w:rPr>
          <w:rFonts w:ascii="Century Gothic" w:hAnsi="Century Gothic" w:cs="Times New Roman"/>
          <w:sz w:val="22"/>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20D15FFD" w14:textId="77777777" w:rsidR="00B86A5F" w:rsidRPr="006858F7" w:rsidRDefault="00B86A5F" w:rsidP="00B86A5F">
      <w:pPr>
        <w:pStyle w:val="Sinespaciado"/>
        <w:rPr>
          <w:rFonts w:ascii="Century Gothic" w:hAnsi="Century Gothic" w:cs="Times New Roman"/>
          <w:sz w:val="22"/>
        </w:rPr>
      </w:pPr>
    </w:p>
    <w:p w14:paraId="1B5C2196"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Parágrafo 3°.</w:t>
      </w:r>
      <w:r w:rsidRPr="006858F7">
        <w:rPr>
          <w:rFonts w:ascii="Century Gothic" w:hAnsi="Century Gothic" w:cs="Times New Roman"/>
          <w:sz w:val="22"/>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evento en el cual, el juez se abstendrá de repetir la prueba anticipada cuando exista evidencia sumaria de:</w:t>
      </w:r>
    </w:p>
    <w:p w14:paraId="38814591" w14:textId="77777777" w:rsidR="00B86A5F" w:rsidRPr="006858F7" w:rsidRDefault="00B86A5F" w:rsidP="00B86A5F">
      <w:pPr>
        <w:pStyle w:val="Sinespaciado"/>
        <w:rPr>
          <w:rFonts w:ascii="Century Gothic" w:hAnsi="Century Gothic" w:cs="Times New Roman"/>
          <w:sz w:val="22"/>
        </w:rPr>
      </w:pPr>
    </w:p>
    <w:p w14:paraId="5256AFDB"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a) Revictimización;</w:t>
      </w:r>
    </w:p>
    <w:p w14:paraId="62A538C7" w14:textId="77777777" w:rsidR="00B86A5F" w:rsidRPr="006858F7" w:rsidRDefault="00B86A5F" w:rsidP="00B86A5F">
      <w:pPr>
        <w:pStyle w:val="Sinespaciado"/>
        <w:rPr>
          <w:rFonts w:ascii="Century Gothic" w:hAnsi="Century Gothic" w:cs="Times New Roman"/>
          <w:sz w:val="22"/>
        </w:rPr>
      </w:pPr>
    </w:p>
    <w:p w14:paraId="77800A6C"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b) Riesgo de violencia o manipulación;</w:t>
      </w:r>
    </w:p>
    <w:p w14:paraId="061CD32A" w14:textId="77777777" w:rsidR="00B86A5F" w:rsidRPr="006858F7" w:rsidRDefault="00B86A5F" w:rsidP="00B86A5F">
      <w:pPr>
        <w:pStyle w:val="Sinespaciado"/>
        <w:rPr>
          <w:rFonts w:ascii="Century Gothic" w:hAnsi="Century Gothic" w:cs="Times New Roman"/>
          <w:sz w:val="22"/>
        </w:rPr>
      </w:pPr>
    </w:p>
    <w:p w14:paraId="1ADDA48A"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c) Afectación emocional del testigo;</w:t>
      </w:r>
    </w:p>
    <w:p w14:paraId="43FDF10A" w14:textId="77777777" w:rsidR="00B86A5F" w:rsidRPr="006858F7" w:rsidRDefault="00B86A5F" w:rsidP="00B86A5F">
      <w:pPr>
        <w:pStyle w:val="Sinespaciado"/>
        <w:rPr>
          <w:rFonts w:ascii="Century Gothic" w:hAnsi="Century Gothic" w:cs="Times New Roman"/>
          <w:sz w:val="22"/>
        </w:rPr>
      </w:pPr>
    </w:p>
    <w:p w14:paraId="0014DB3D"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d) O dependencia económica con el agresor.</w:t>
      </w:r>
    </w:p>
    <w:p w14:paraId="3B2B5507" w14:textId="77777777" w:rsidR="00B86A5F" w:rsidRPr="006858F7" w:rsidRDefault="00B86A5F" w:rsidP="00B86A5F">
      <w:pPr>
        <w:pStyle w:val="Sinespaciado"/>
        <w:rPr>
          <w:rFonts w:ascii="Century Gothic" w:hAnsi="Century Gothic" w:cs="Times New Roman"/>
          <w:sz w:val="22"/>
        </w:rPr>
      </w:pPr>
    </w:p>
    <w:p w14:paraId="0869CB49"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Parágrafo 4°.</w:t>
      </w:r>
      <w:r w:rsidRPr="006858F7">
        <w:rPr>
          <w:rFonts w:ascii="Century Gothic" w:hAnsi="Century Gothic" w:cs="Times New Roman"/>
          <w:sz w:val="22"/>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5DA8532F" w14:textId="77777777" w:rsidR="00B86A5F" w:rsidRPr="006858F7" w:rsidRDefault="00B86A5F" w:rsidP="00B86A5F">
      <w:pPr>
        <w:pStyle w:val="Sinespaciado"/>
        <w:rPr>
          <w:rFonts w:ascii="Century Gothic" w:hAnsi="Century Gothic" w:cs="Times New Roman"/>
          <w:sz w:val="22"/>
        </w:rPr>
      </w:pPr>
    </w:p>
    <w:p w14:paraId="1D8C1D99"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La prueba deberá practicarse antes de que quede en firme la decisión del Presidente de la República de conceder la extradición.</w:t>
      </w:r>
    </w:p>
    <w:p w14:paraId="23584329" w14:textId="77777777" w:rsidR="00B86A5F" w:rsidRPr="006858F7" w:rsidRDefault="00B86A5F" w:rsidP="00B86A5F">
      <w:pPr>
        <w:pStyle w:val="Sinespaciado"/>
        <w:rPr>
          <w:rFonts w:ascii="Century Gothic" w:hAnsi="Century Gothic" w:cs="Times New Roman"/>
          <w:sz w:val="22"/>
        </w:rPr>
      </w:pPr>
    </w:p>
    <w:p w14:paraId="0C1547CD"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Parágrafo 5.</w:t>
      </w:r>
      <w:r w:rsidRPr="006858F7">
        <w:rPr>
          <w:rFonts w:ascii="Century Gothic" w:hAnsi="Century Gothic" w:cs="Times New Roman"/>
          <w:sz w:val="22"/>
        </w:rPr>
        <w:t xml:space="preserve">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14:paraId="27703706" w14:textId="77777777" w:rsidR="00B86A5F" w:rsidRPr="006858F7" w:rsidRDefault="00B86A5F" w:rsidP="00B86A5F">
      <w:pPr>
        <w:pStyle w:val="Sinespaciado"/>
        <w:rPr>
          <w:rFonts w:ascii="Century Gothic" w:hAnsi="Century Gothic" w:cs="Times New Roman"/>
          <w:sz w:val="22"/>
        </w:rPr>
      </w:pPr>
    </w:p>
    <w:p w14:paraId="16FBB9D3"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Artículo 4°.</w:t>
      </w:r>
      <w:r w:rsidRPr="006858F7">
        <w:rPr>
          <w:rFonts w:ascii="Century Gothic" w:hAnsi="Century Gothic" w:cs="Times New Roman"/>
          <w:sz w:val="22"/>
        </w:rPr>
        <w:t xml:space="preserve"> Modifíquese el artículo 534 de la Ley 906 de 2004, el cual quedará así:</w:t>
      </w:r>
    </w:p>
    <w:p w14:paraId="5214828F" w14:textId="77777777" w:rsidR="00B86A5F" w:rsidRPr="006858F7" w:rsidRDefault="00B86A5F" w:rsidP="00B86A5F">
      <w:pPr>
        <w:pStyle w:val="Sinespaciado"/>
        <w:rPr>
          <w:rFonts w:ascii="Century Gothic" w:hAnsi="Century Gothic" w:cs="Times New Roman"/>
          <w:sz w:val="22"/>
        </w:rPr>
      </w:pPr>
    </w:p>
    <w:p w14:paraId="77E1768C"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Artículo 534. Ámbito de aplicación.</w:t>
      </w:r>
      <w:r w:rsidRPr="006858F7">
        <w:rPr>
          <w:rFonts w:ascii="Century Gothic" w:hAnsi="Century Gothic" w:cs="Times New Roman"/>
          <w:sz w:val="22"/>
        </w:rPr>
        <w:t xml:space="preserve"> El procedimiento especial abreviado de que trata el presente título se aplicará a las siguientes conductas punibles:</w:t>
      </w:r>
    </w:p>
    <w:p w14:paraId="1F8DC775" w14:textId="77777777" w:rsidR="00B86A5F" w:rsidRPr="006858F7" w:rsidRDefault="00B86A5F" w:rsidP="00B86A5F">
      <w:pPr>
        <w:pStyle w:val="Sinespaciado"/>
        <w:rPr>
          <w:rFonts w:ascii="Century Gothic" w:hAnsi="Century Gothic" w:cs="Times New Roman"/>
          <w:sz w:val="22"/>
        </w:rPr>
      </w:pPr>
    </w:p>
    <w:p w14:paraId="1D298AE1"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1. Las que requieren querella para el inicio de la acción penal.</w:t>
      </w:r>
    </w:p>
    <w:p w14:paraId="5DC19621" w14:textId="77777777" w:rsidR="00B86A5F" w:rsidRPr="006858F7" w:rsidRDefault="00B86A5F" w:rsidP="00B86A5F">
      <w:pPr>
        <w:pStyle w:val="Sinespaciado"/>
        <w:rPr>
          <w:rFonts w:ascii="Century Gothic" w:hAnsi="Century Gothic" w:cs="Times New Roman"/>
          <w:sz w:val="22"/>
        </w:rPr>
      </w:pPr>
    </w:p>
    <w:p w14:paraId="66A95943"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 xml:space="preserve">2. Lesiones personales a las que hacen referencia los artículos 111, 112, 113, 114, 115, 116, 118 y 120 del Código Penal; Actos de Discriminación (C. P. artículo 134A), Hostigamiento (C. P. artículo 134B), Actos de Discriminación u Hostigamiento Agravados (C. P. artículo 134C), violencia intrafamiliar (C. P. artículo 229), 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(C.P. artículo 270); violación de derechos patrimoniales de autor y derechos conexos (C. P. artículo 271); violación a los mecanismos de protección de derechos de autor (C. P. artículo 272); falsedad en documento privado (C.P. artículos 289 y 290); usurpación de derechos de propiedad industrial y de derechos de obtentores de variedades vegetales (C. P. artículo 306); uso ilegítimo de patentes (C. P. artículo 307); violación de reserva industrial y comercial (C. P. artículo 308); ejercicio ilícito de actividad monopolística de arbitrio rentístico (C. P. artículo 312). </w:t>
      </w:r>
    </w:p>
    <w:p w14:paraId="09D2410D" w14:textId="77777777" w:rsidR="00B86A5F" w:rsidRPr="006858F7" w:rsidRDefault="00B86A5F" w:rsidP="00B86A5F">
      <w:pPr>
        <w:pStyle w:val="Sinespaciado"/>
        <w:rPr>
          <w:rFonts w:ascii="Century Gothic" w:hAnsi="Century Gothic" w:cs="Times New Roman"/>
          <w:sz w:val="22"/>
        </w:rPr>
      </w:pPr>
    </w:p>
    <w:p w14:paraId="62163DCD"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sz w:val="22"/>
        </w:rPr>
        <w:t>En caso de concurso entre las conductas punibles referidas en los numerales anteriores y aquellas a las que se les aplica el procedimiento ordinario, la actuación se regirá por este último.</w:t>
      </w:r>
    </w:p>
    <w:p w14:paraId="0A4DD684" w14:textId="77777777" w:rsidR="00B86A5F" w:rsidRPr="006858F7" w:rsidRDefault="00B86A5F" w:rsidP="00B86A5F">
      <w:pPr>
        <w:pStyle w:val="Sinespaciado"/>
        <w:rPr>
          <w:rFonts w:ascii="Century Gothic" w:hAnsi="Century Gothic" w:cs="Times New Roman"/>
          <w:sz w:val="22"/>
        </w:rPr>
      </w:pPr>
    </w:p>
    <w:p w14:paraId="672B2EC9"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Parágrafo.</w:t>
      </w:r>
      <w:r w:rsidRPr="006858F7">
        <w:rPr>
          <w:rFonts w:ascii="Century Gothic" w:hAnsi="Century Gothic" w:cs="Times New Roman"/>
          <w:sz w:val="22"/>
        </w:rPr>
        <w:t xml:space="preserve"> Este procedimiento aplicará también para todos los casos de flagrancia de los delitos contemplados en el presente artículo.</w:t>
      </w:r>
    </w:p>
    <w:p w14:paraId="7EAED4FE" w14:textId="77777777" w:rsidR="00B86A5F" w:rsidRPr="006858F7" w:rsidRDefault="00B86A5F" w:rsidP="00B86A5F">
      <w:pPr>
        <w:pStyle w:val="Sinespaciado"/>
        <w:rPr>
          <w:rFonts w:ascii="Century Gothic" w:hAnsi="Century Gothic" w:cs="Times New Roman"/>
          <w:sz w:val="22"/>
        </w:rPr>
      </w:pPr>
    </w:p>
    <w:p w14:paraId="142E1DC5"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 xml:space="preserve">Artículo </w:t>
      </w:r>
      <w:r w:rsidR="003D3058" w:rsidRPr="006858F7">
        <w:rPr>
          <w:rFonts w:ascii="Century Gothic" w:hAnsi="Century Gothic" w:cs="Times New Roman"/>
          <w:b/>
          <w:sz w:val="22"/>
        </w:rPr>
        <w:t>5</w:t>
      </w:r>
      <w:r w:rsidRPr="006858F7">
        <w:rPr>
          <w:rFonts w:ascii="Century Gothic" w:hAnsi="Century Gothic" w:cs="Times New Roman"/>
          <w:b/>
          <w:sz w:val="22"/>
        </w:rPr>
        <w:t>°.</w:t>
      </w:r>
      <w:r w:rsidRPr="006858F7">
        <w:rPr>
          <w:rFonts w:ascii="Century Gothic" w:hAnsi="Century Gothic" w:cs="Times New Roman"/>
          <w:sz w:val="22"/>
        </w:rPr>
        <w:t xml:space="preserve"> Modifíquese el artículo 550 de la Ley 906 de 2004, el cual quedará así:</w:t>
      </w:r>
    </w:p>
    <w:p w14:paraId="4838CE08" w14:textId="77777777" w:rsidR="00B86A5F" w:rsidRPr="006858F7" w:rsidRDefault="00B86A5F" w:rsidP="00B86A5F">
      <w:pPr>
        <w:pStyle w:val="Sinespaciado"/>
        <w:rPr>
          <w:rFonts w:ascii="Century Gothic" w:hAnsi="Century Gothic" w:cs="Times New Roman"/>
          <w:sz w:val="22"/>
        </w:rPr>
      </w:pPr>
    </w:p>
    <w:p w14:paraId="4644DCFA"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Artículo 550.</w:t>
      </w:r>
      <w:r w:rsidRPr="006858F7">
        <w:rPr>
          <w:rFonts w:ascii="Century Gothic" w:hAnsi="Century Gothic" w:cs="Times New Roman"/>
          <w:sz w:val="22"/>
        </w:rPr>
        <w:t xml:space="preserve"> </w:t>
      </w:r>
      <w:r w:rsidRPr="006858F7">
        <w:rPr>
          <w:rFonts w:ascii="Century Gothic" w:hAnsi="Century Gothic" w:cs="Times New Roman"/>
          <w:b/>
          <w:sz w:val="22"/>
        </w:rPr>
        <w:t>Conductas punibles susceptibles de conversión de la acción penal.</w:t>
      </w:r>
      <w:r w:rsidRPr="006858F7">
        <w:rPr>
          <w:rFonts w:ascii="Century Gothic" w:hAnsi="Century Gothic" w:cs="Times New Roman"/>
          <w:sz w:val="22"/>
        </w:rPr>
        <w:t xml:space="preserve"> La conversión de la acción penal de pública a privada podrá autorizarse para las conductas que se tramiten por el procedimiento especial abreviado, a excepción de aquellas que atenten contra bienes del Estado y cuando se trate del delito de violencia intrafamiliar.</w:t>
      </w:r>
    </w:p>
    <w:p w14:paraId="5ADE3504" w14:textId="77777777" w:rsidR="00B86A5F" w:rsidRPr="006858F7" w:rsidRDefault="00B86A5F" w:rsidP="00B86A5F">
      <w:pPr>
        <w:pStyle w:val="Sinespaciado"/>
        <w:rPr>
          <w:rFonts w:ascii="Century Gothic" w:hAnsi="Century Gothic" w:cs="Times New Roman"/>
          <w:sz w:val="22"/>
        </w:rPr>
      </w:pPr>
    </w:p>
    <w:p w14:paraId="19A4BE43" w14:textId="77777777" w:rsidR="00B86A5F" w:rsidRPr="006858F7" w:rsidRDefault="00B86A5F" w:rsidP="00B86A5F">
      <w:pPr>
        <w:pStyle w:val="Sinespaciado"/>
        <w:rPr>
          <w:rFonts w:ascii="Century Gothic" w:hAnsi="Century Gothic" w:cs="Times New Roman"/>
          <w:sz w:val="22"/>
        </w:rPr>
      </w:pPr>
      <w:r w:rsidRPr="006858F7">
        <w:rPr>
          <w:rFonts w:ascii="Century Gothic" w:hAnsi="Century Gothic" w:cs="Times New Roman"/>
          <w:b/>
          <w:sz w:val="22"/>
        </w:rPr>
        <w:t xml:space="preserve">Artículo </w:t>
      </w:r>
      <w:r w:rsidR="003D3058" w:rsidRPr="006858F7">
        <w:rPr>
          <w:rFonts w:ascii="Century Gothic" w:hAnsi="Century Gothic" w:cs="Times New Roman"/>
          <w:b/>
          <w:sz w:val="22"/>
        </w:rPr>
        <w:t>6</w:t>
      </w:r>
      <w:r w:rsidRPr="006858F7">
        <w:rPr>
          <w:rFonts w:ascii="Century Gothic" w:hAnsi="Century Gothic" w:cs="Times New Roman"/>
          <w:b/>
          <w:sz w:val="22"/>
        </w:rPr>
        <w:t>°. Vigencia.</w:t>
      </w:r>
      <w:r w:rsidRPr="006858F7">
        <w:rPr>
          <w:rFonts w:ascii="Century Gothic" w:hAnsi="Century Gothic" w:cs="Times New Roman"/>
          <w:sz w:val="22"/>
        </w:rPr>
        <w:t xml:space="preserve"> La presente ley rige a partir de su promulgación y deroga todas las disposiciones que le sean contrarias.</w:t>
      </w:r>
    </w:p>
    <w:p w14:paraId="766B15F3" w14:textId="77777777" w:rsidR="006B16EA" w:rsidRDefault="006B16EA" w:rsidP="00707BA5">
      <w:pPr>
        <w:rPr>
          <w:rFonts w:ascii="Century Gothic" w:hAnsi="Century Gothic" w:cs="Times New Roman"/>
          <w:sz w:val="22"/>
        </w:rPr>
      </w:pPr>
    </w:p>
    <w:p w14:paraId="7B600476" w14:textId="77777777" w:rsidR="00707BA5" w:rsidRPr="006858F7" w:rsidRDefault="00707BA5" w:rsidP="00707BA5">
      <w:pPr>
        <w:rPr>
          <w:rFonts w:ascii="Century Gothic" w:hAnsi="Century Gothic" w:cs="Times New Roman"/>
          <w:sz w:val="22"/>
        </w:rPr>
      </w:pPr>
      <w:r w:rsidRPr="006858F7">
        <w:rPr>
          <w:rFonts w:ascii="Century Gothic" w:hAnsi="Century Gothic" w:cs="Times New Roman"/>
          <w:sz w:val="22"/>
        </w:rPr>
        <w:t>De los Honorables Representantes,</w:t>
      </w:r>
    </w:p>
    <w:p w14:paraId="412CF3C9" w14:textId="77777777" w:rsidR="00707BA5" w:rsidRPr="006858F7" w:rsidRDefault="00707BA5" w:rsidP="00707BA5">
      <w:pPr>
        <w:spacing w:before="0" w:after="0"/>
        <w:rPr>
          <w:rFonts w:ascii="Century Gothic" w:hAnsi="Century Gothic" w:cs="Times New Roman"/>
          <w:b/>
          <w:sz w:val="22"/>
        </w:rPr>
      </w:pPr>
    </w:p>
    <w:p w14:paraId="74913D88" w14:textId="77777777" w:rsidR="00707BA5" w:rsidRDefault="00707BA5" w:rsidP="00707BA5">
      <w:pPr>
        <w:spacing w:before="0" w:after="0"/>
        <w:rPr>
          <w:rFonts w:ascii="Century Gothic" w:hAnsi="Century Gothic" w:cs="Times New Roman"/>
          <w:b/>
          <w:sz w:val="22"/>
        </w:rPr>
      </w:pPr>
    </w:p>
    <w:p w14:paraId="0535F082" w14:textId="77777777" w:rsidR="006B16EA" w:rsidRPr="006858F7" w:rsidRDefault="006B16EA" w:rsidP="00707BA5">
      <w:pPr>
        <w:spacing w:before="0" w:after="0"/>
        <w:rPr>
          <w:rFonts w:ascii="Century Gothic" w:hAnsi="Century Gothic" w:cs="Times New Roman"/>
          <w:b/>
          <w:sz w:val="22"/>
        </w:rPr>
      </w:pPr>
    </w:p>
    <w:p w14:paraId="02F2909B" w14:textId="77777777" w:rsidR="00707BA5" w:rsidRPr="006858F7" w:rsidRDefault="00707BA5" w:rsidP="00707BA5">
      <w:pPr>
        <w:spacing w:before="0" w:after="0"/>
        <w:rPr>
          <w:rFonts w:ascii="Century Gothic" w:hAnsi="Century Gothic" w:cs="Times New Roman"/>
          <w:b/>
          <w:sz w:val="22"/>
        </w:rPr>
      </w:pPr>
      <w:r w:rsidRPr="006858F7">
        <w:rPr>
          <w:rFonts w:ascii="Century Gothic" w:hAnsi="Century Gothic" w:cs="Times New Roman"/>
          <w:b/>
          <w:sz w:val="22"/>
        </w:rPr>
        <w:t>ADRIANA MAGALI MATIZ VARGAS</w:t>
      </w:r>
    </w:p>
    <w:p w14:paraId="2EA24A13" w14:textId="0AFD9DED" w:rsidR="00707BA5" w:rsidRPr="006858F7" w:rsidRDefault="00707BA5" w:rsidP="00707BA5">
      <w:pPr>
        <w:spacing w:before="0" w:after="0"/>
        <w:rPr>
          <w:rFonts w:ascii="Century Gothic" w:hAnsi="Century Gothic" w:cs="Times New Roman"/>
          <w:sz w:val="22"/>
        </w:rPr>
      </w:pPr>
      <w:r w:rsidRPr="006858F7">
        <w:rPr>
          <w:rFonts w:ascii="Century Gothic" w:hAnsi="Century Gothic" w:cs="Times New Roman"/>
          <w:sz w:val="22"/>
        </w:rPr>
        <w:t>Representante</w:t>
      </w:r>
      <w:r w:rsidR="006858F7" w:rsidRPr="006858F7">
        <w:rPr>
          <w:rFonts w:ascii="Century Gothic" w:hAnsi="Century Gothic" w:cs="Times New Roman"/>
          <w:sz w:val="22"/>
        </w:rPr>
        <w:t xml:space="preserve"> a la Cámara</w:t>
      </w:r>
    </w:p>
    <w:p w14:paraId="65E761C3" w14:textId="2030528A" w:rsidR="00707BA5" w:rsidRPr="006858F7" w:rsidRDefault="00707BA5" w:rsidP="006858F7">
      <w:pPr>
        <w:spacing w:before="0" w:after="0"/>
        <w:rPr>
          <w:rFonts w:ascii="Century Gothic" w:hAnsi="Century Gothic" w:cs="Times New Roman"/>
          <w:sz w:val="22"/>
        </w:rPr>
      </w:pPr>
      <w:r w:rsidRPr="006858F7">
        <w:rPr>
          <w:rFonts w:ascii="Century Gothic" w:hAnsi="Century Gothic" w:cs="Times New Roman"/>
          <w:sz w:val="22"/>
        </w:rPr>
        <w:t>Comisión Primera Constitucional</w:t>
      </w:r>
    </w:p>
    <w:p w14:paraId="6023C1B7" w14:textId="77777777" w:rsidR="00B33D63" w:rsidRPr="00F8685B" w:rsidRDefault="00B33D63" w:rsidP="008763E9">
      <w:pPr>
        <w:tabs>
          <w:tab w:val="left" w:pos="4111"/>
        </w:tabs>
        <w:rPr>
          <w:rFonts w:cs="Times New Roman"/>
          <w:szCs w:val="24"/>
        </w:rPr>
      </w:pPr>
    </w:p>
    <w:sectPr w:rsidR="00B33D63" w:rsidRPr="00F8685B" w:rsidSect="00355B08">
      <w:headerReference w:type="default" r:id="rId8"/>
      <w:footerReference w:type="default" r:id="rId9"/>
      <w:pgSz w:w="12240" w:h="15840"/>
      <w:pgMar w:top="1417" w:right="1701" w:bottom="1417" w:left="1701" w:header="708"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92490" w14:textId="77777777" w:rsidR="003B6A3D" w:rsidRDefault="003B6A3D" w:rsidP="00B86A5F">
      <w:pPr>
        <w:spacing w:before="0" w:after="0"/>
      </w:pPr>
      <w:r>
        <w:separator/>
      </w:r>
    </w:p>
  </w:endnote>
  <w:endnote w:type="continuationSeparator" w:id="0">
    <w:p w14:paraId="45894C81" w14:textId="77777777" w:rsidR="003B6A3D" w:rsidRDefault="003B6A3D" w:rsidP="00B86A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EA471" w14:textId="77777777" w:rsidR="00355B08" w:rsidRPr="00CB5B6A" w:rsidRDefault="00355B08" w:rsidP="00355B08">
    <w:pPr>
      <w:pStyle w:val="Piedepgina"/>
      <w:jc w:val="center"/>
      <w:rPr>
        <w:rFonts w:ascii="Century Gothic" w:hAnsi="Century Gothic"/>
        <w:sz w:val="16"/>
      </w:rPr>
    </w:pPr>
    <w:r w:rsidRPr="00CB5B6A">
      <w:rPr>
        <w:rFonts w:ascii="Century Gothic" w:hAnsi="Century Gothic"/>
        <w:i/>
        <w:color w:val="808080" w:themeColor="background1" w:themeShade="80"/>
        <w:sz w:val="16"/>
      </w:rPr>
      <w:t>Ediﬁcio Nuevo del Congreso: Carrera 7 N° 8 - 68 -oficina 432B – 433B</w:t>
    </w:r>
  </w:p>
  <w:p w14:paraId="6AE77610" w14:textId="77777777" w:rsidR="00355B08" w:rsidRPr="00CB5B6A" w:rsidRDefault="00355B08" w:rsidP="00355B08">
    <w:pPr>
      <w:pStyle w:val="Piedepgina"/>
      <w:ind w:firstLine="708"/>
      <w:jc w:val="center"/>
      <w:rPr>
        <w:rFonts w:ascii="Century Gothic" w:hAnsi="Century Gothic"/>
        <w:i/>
        <w:color w:val="808080" w:themeColor="background1" w:themeShade="80"/>
        <w:sz w:val="16"/>
      </w:rPr>
    </w:pPr>
    <w:r w:rsidRPr="00CB5B6A">
      <w:rPr>
        <w:rFonts w:ascii="Century Gothic" w:hAnsi="Century Gothic"/>
        <w:i/>
        <w:color w:val="808080" w:themeColor="background1" w:themeShade="80"/>
        <w:sz w:val="16"/>
      </w:rPr>
      <w:t xml:space="preserve">Teléfono: Tel (57+1) 4325100 (57+1) 4325101 (57+1) 4325102 Extensión: 3330-3357 </w:t>
    </w:r>
  </w:p>
  <w:p w14:paraId="4CA93D1F" w14:textId="77777777" w:rsidR="00355B08" w:rsidRPr="00CB5B6A" w:rsidRDefault="00355B08" w:rsidP="00355B08">
    <w:pPr>
      <w:pStyle w:val="Piedepgina"/>
      <w:ind w:firstLine="708"/>
      <w:jc w:val="center"/>
      <w:rPr>
        <w:rFonts w:ascii="Century Gothic" w:hAnsi="Century Gothic"/>
        <w:i/>
        <w:color w:val="808080" w:themeColor="background1" w:themeShade="80"/>
        <w:sz w:val="16"/>
      </w:rPr>
    </w:pPr>
    <w:r w:rsidRPr="00CB5B6A">
      <w:rPr>
        <w:rFonts w:ascii="Century Gothic" w:hAnsi="Century Gothic"/>
        <w:i/>
        <w:color w:val="808080" w:themeColor="background1" w:themeShade="80"/>
        <w:sz w:val="16"/>
      </w:rPr>
      <w:t>Correo electrónico: asistentemagalimatiz01@gmail.com</w:t>
    </w:r>
  </w:p>
  <w:p w14:paraId="6C992BAC" w14:textId="77777777" w:rsidR="00355B08" w:rsidRDefault="00355B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0AF13" w14:textId="77777777" w:rsidR="003B6A3D" w:rsidRDefault="003B6A3D" w:rsidP="00B86A5F">
      <w:pPr>
        <w:spacing w:before="0" w:after="0"/>
      </w:pPr>
      <w:r>
        <w:separator/>
      </w:r>
    </w:p>
  </w:footnote>
  <w:footnote w:type="continuationSeparator" w:id="0">
    <w:p w14:paraId="576A92D4" w14:textId="77777777" w:rsidR="003B6A3D" w:rsidRDefault="003B6A3D" w:rsidP="00B86A5F">
      <w:pPr>
        <w:spacing w:before="0" w:after="0"/>
      </w:pPr>
      <w:r>
        <w:continuationSeparator/>
      </w:r>
    </w:p>
  </w:footnote>
  <w:footnote w:id="1">
    <w:p w14:paraId="7DBDA4FA" w14:textId="75CF5730" w:rsidR="00F46471" w:rsidRPr="00521CF3" w:rsidRDefault="00F46471" w:rsidP="00F46471">
      <w:pPr>
        <w:pStyle w:val="Textonotapie"/>
      </w:pPr>
      <w:r w:rsidRPr="00521CF3">
        <w:rPr>
          <w:rStyle w:val="Refdenotaalpie"/>
        </w:rPr>
        <w:footnoteRef/>
      </w:r>
      <w:r w:rsidRPr="00521CF3">
        <w:t xml:space="preserve"> Exposición de Motivos del Proyecto de ley número</w:t>
      </w:r>
      <w:r w:rsidR="00D075CD">
        <w:t xml:space="preserve"> 201 de 2018 S/</w:t>
      </w:r>
      <w:r w:rsidRPr="00521CF3">
        <w:t xml:space="preserve"> 139 de 2017</w:t>
      </w:r>
      <w:r w:rsidR="00D075CD">
        <w:t xml:space="preserve"> C</w:t>
      </w:r>
      <w:r w:rsidRPr="00521CF3">
        <w:t xml:space="preserve">. Gaceta del Congreso número 879 de 3 de octubre de 2017. </w:t>
      </w:r>
    </w:p>
  </w:footnote>
  <w:footnote w:id="2">
    <w:p w14:paraId="6F6EF9DD"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Según los datos registrados en la Fiscalía General de la Nación para el delito de violencia intrafamiliar entre el 2010 y 2018. Ver al respecto: Gráfico 1. Informe de Ponencia para primer debate en Cámara publicada en la Gaceta 947 de 2018.</w:t>
      </w:r>
    </w:p>
  </w:footnote>
  <w:footnote w:id="3">
    <w:p w14:paraId="0F74749F"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Datos obtenidos del SPOA en consulta del 10 de octubre de 2018, remitidos por la Fiscalía General de la Nación en oficio con número de ORFEO 20182000005531 de 1 de noviembre de 2018. Ver al respecto: Gráfico 1. Informe de Ponencia para primer debate en Cámara publicada en la Gaceta 947 de 2018.</w:t>
      </w:r>
    </w:p>
  </w:footnote>
  <w:footnote w:id="4">
    <w:p w14:paraId="01AAA971"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Estos departamentos concentran el 62% del total de las investigaciones adelantadas por esa conducta punible. Ver al respecto: Gráfico 2. Informe de Ponencia para primer debate en Cámara publicada en la Gaceta 947 de 2018.</w:t>
      </w:r>
    </w:p>
  </w:footnote>
  <w:footnote w:id="5">
    <w:p w14:paraId="0B3317F0"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Javier Pineda Duque, Luisa Otero Peña. “Género, violencia intrafamiliar e intervención pública en Colombia”. revista de estudios sociales No.17. Bogotá Jan. / Apr. 2004. Disponible en: </w:t>
      </w:r>
      <w:hyperlink r:id="rId1" w:history="1">
        <w:r w:rsidRPr="00063AA1">
          <w:rPr>
            <w:rStyle w:val="Hipervnculo"/>
            <w:rFonts w:cs="Times New Roman"/>
            <w:color w:val="auto"/>
          </w:rPr>
          <w:t>http://www.scielo.org.co/scielo.php?script=sci_arttext&amp;pid=S0123-885X2004000100003</w:t>
        </w:r>
      </w:hyperlink>
      <w:r w:rsidRPr="00063AA1">
        <w:rPr>
          <w:rFonts w:cs="Times New Roman"/>
        </w:rPr>
        <w:t xml:space="preserve">. </w:t>
      </w:r>
    </w:p>
  </w:footnote>
  <w:footnote w:id="6">
    <w:p w14:paraId="422A1B65"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Eda Quirós. “El impacto de la violencia intrafamiliar: Transitando de la desesperanza a la recuperación del derecho a vivir libres de violencia”. Perspectivas Psicológicas • Volúmenes 3 - 4 • Año IV. </w:t>
      </w:r>
    </w:p>
  </w:footnote>
  <w:footnote w:id="7">
    <w:p w14:paraId="6469CDEB"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Javier Pineda Duque, Luisa Otero Peña. “Género, violencia intrafamiliar e intervención pública en Colombia”. revista de estudios sociales No.17. Bogotá Jan./Apr. 2004. Disponible en: </w:t>
      </w:r>
      <w:hyperlink r:id="rId2" w:history="1">
        <w:r w:rsidRPr="00063AA1">
          <w:rPr>
            <w:rStyle w:val="Hipervnculo"/>
            <w:rFonts w:cs="Times New Roman"/>
            <w:color w:val="auto"/>
          </w:rPr>
          <w:t>http://www.scielo.org.co/scielo.php?script=sci_arttext&amp;pid=S0123-885X2004000100003</w:t>
        </w:r>
      </w:hyperlink>
      <w:r w:rsidRPr="00063AA1">
        <w:rPr>
          <w:rFonts w:cs="Times New Roman"/>
        </w:rPr>
        <w:t xml:space="preserve">. </w:t>
      </w:r>
    </w:p>
  </w:footnote>
  <w:footnote w:id="8">
    <w:p w14:paraId="4A0D91ED"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“Elizabeth Castillo Vargas, “FEMINICIDIO Mujeres que mueren por violencia intrafamiliar en Colombia Estudio de casos en cinco ciudades del país”. Con el apoyo de la Federación Internacional de Planificación de la Familia - Región del Hemisferio Occidental (IPPF - RHO) Noviembre de 2007. P. 20. </w:t>
      </w:r>
    </w:p>
  </w:footnote>
  <w:footnote w:id="9">
    <w:p w14:paraId="05A41DF9"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FORENSIS. “Datos para la vida 2017”. Instituto Nacional de Medicina Legal y de Ciencias Forenses. Vol.19 N° 1 Mayo 2018. Consultado el: 6 de agosto de 2018. P. 177. Disponible en: http://www.medicinalegal.gov.co/cifras-estadisticas/forensis. P 177. </w:t>
      </w:r>
    </w:p>
  </w:footnote>
  <w:footnote w:id="10">
    <w:p w14:paraId="041E8A04"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Corte Suprema de Justicia, Sentencia de 7 de junio de 2017. Radicado SP8064-2017 M.P. Luis Antonio Hernández Barbosa. </w:t>
      </w:r>
    </w:p>
  </w:footnote>
  <w:footnote w:id="11">
    <w:p w14:paraId="22A1638B"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Corte Suprema de Justicia, Sentencia de 7 de junio de 2017. Radicado SP8064-2017 M.P. Luis Antonio Hernández Barbosa. </w:t>
      </w:r>
    </w:p>
  </w:footnote>
  <w:footnote w:id="12">
    <w:p w14:paraId="247485CB"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“Luego se habló de violencia doméstica, categoría que fue útil pues amplió la comprensión del sexo y el género de los implicados y hacía énfasis en el lugar de ocurrencia de la violencia. Pero este concepto no bastó, pues dejaba fuera del ámbito de análisis la violencia ocurrida en la pareja pero que no necesariamente ocurría en el lugar en el cual ésta sostenía o había sostenido la convivencia. El concepto violencia intrafamiliar incluye a otros miembros de la familia aparte de las mujeres, como hijos/as, ancianos/as, personas con discapacidad o personas con una identidad de género o una orientación sexual diversa, pero también resulta insuficiente pues no aborda conceptos como el acoso sexual o las violencias estructurales que afrontan las mujeres. Un nudo conceptual en estas denominaciones ha sido el dilema que plantean los ex compañeros de las mujeres maltratadas. Si ya no continúa la pareja, ya no hay convivencia y están separados, ¿qué categoría adquiere la agresión cuando proviene del ex compañero? Muchos casos que deberían ser catalogados como VIF son desestimados de esta categoría, simplemente porque el hecho ocurre entre dos personas que ya no son pareja, que ya no conviven en el mismo espacio y entre las cuales se presume que no hay ningún vínculo. Lo anterior aumenta la incertidumbre y en algunos casos impide que se pueda acudir a los recursos legales establecidos para proteger a las víctimas. Esto es trágicamente evidente en los casos donde el ex compañero mata a la mujer”. Elizabeth Castillo Vargas, “FEMINICIDIO Mujeres que mueren por violencia intrafamiliar en Colombia Estudio de casos en cinco ciudades del país”. Con el apoyo de la Federación Internacional de Planificación de la Familia - Región del Hemisferio Occidental (IPPF - RHO) Noviembre de 2007. P. 17-18. </w:t>
      </w:r>
    </w:p>
  </w:footnote>
  <w:footnote w:id="13">
    <w:p w14:paraId="253D7C5D"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Ibíd. P 295. </w:t>
      </w:r>
    </w:p>
  </w:footnote>
  <w:footnote w:id="14">
    <w:p w14:paraId="42D8B76E"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Legislación chilena. Ley 20.066 de 2005 sobre violencia intrafamiliar. Disponible en: https://www.oas.org/dil/esp/Ley_20066_Violencia_Intrafamiliar_Chile.pdf</w:t>
      </w:r>
    </w:p>
  </w:footnote>
  <w:footnote w:id="15">
    <w:p w14:paraId="0F01C0EB"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Ver al respecto: </w:t>
      </w:r>
      <w:hyperlink r:id="rId3" w:history="1">
        <w:r w:rsidRPr="00063AA1">
          <w:rPr>
            <w:rStyle w:val="Hipervnculo"/>
            <w:rFonts w:cs="Times New Roman"/>
            <w:color w:val="auto"/>
          </w:rPr>
          <w:t>https://www.gob.mx/mujeressinviolencia/articulos/comprender-el-circulo-de-la-violencia-es-el-primer-paso-para-romperlo</w:t>
        </w:r>
      </w:hyperlink>
      <w:r w:rsidRPr="00063AA1">
        <w:rPr>
          <w:rFonts w:cs="Times New Roman"/>
        </w:rPr>
        <w:t xml:space="preserve">. </w:t>
      </w:r>
    </w:p>
  </w:footnote>
  <w:footnote w:id="16">
    <w:p w14:paraId="5152B590"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FORENSIS. “Datos para la vida 2017”. Instituto Nacional de Medicina Legal y de Ciencias Forenses. Vol.19 N° 1 Mayo 2018. Consultado el: 6 de agosto de 2018. P. 177. Disponible en: http://www.medicinalegal.gov.co/cifras-estadisticas/forensis. P. 257. </w:t>
      </w:r>
    </w:p>
  </w:footnote>
  <w:footnote w:id="17">
    <w:p w14:paraId="6D0C2602"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“En conclusión, el Legislador cuenta con un amplio margen de libertad de configuración normativa en materia penal, así como para establecer las penas, la forma de dosificarlas, sus agravantes y atenuantes. No obstante lo anterior, su facultad no es absoluta, pues encuentra límites constitucionales como son los principios de necesidad, de la exclusiva protección de bienes jurídicos, de legalidad, de culpabilidad, de razonabilidad y proporcionalidad, así como las normas constitucionales y aquellas que forman el bloque de constitucionalidad, entre otros”. Corte Constitucionalidad, Sentencia C – 181 de 2016, M.P. Gloria Stella Ortiz Delgado. </w:t>
      </w:r>
    </w:p>
  </w:footnote>
  <w:footnote w:id="18">
    <w:p w14:paraId="061B0C9F"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Artículo 61 de la Ley 599 de 2000. </w:t>
      </w:r>
    </w:p>
  </w:footnote>
  <w:footnote w:id="19">
    <w:p w14:paraId="56BFE6D5"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FORENSIS. “Datos para la vida 2017”. Instituto Nacional de Medicina Legal y de Ciencias Forenses. Vol.19 N° 1 Mayo 2018. Consultado el: 6 de agosto de 2018. P. 182. Disponible en: Disponible en: http://www.medicinalegal.gov.co/cifras-estadisticas/forensis.</w:t>
      </w:r>
    </w:p>
  </w:footnote>
  <w:footnote w:id="20">
    <w:p w14:paraId="1B0766A0"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Ver al respecto: Sandra Torres Romero. “Aproximación al fenómeno de la retractación en las causas de violencia intrafamiliar”. Rev. derecho (Valdivia) vol.26 no.1 Valdivia jul. 2013. Disponible en: </w:t>
      </w:r>
      <w:hyperlink r:id="rId4" w:history="1">
        <w:r w:rsidRPr="00063AA1">
          <w:rPr>
            <w:rStyle w:val="Hipervnculo"/>
            <w:rFonts w:cs="Times New Roman"/>
            <w:color w:val="auto"/>
          </w:rPr>
          <w:t>https://scielo.conicyt.cl/scielo.php?script=sci_arttext&amp;pid=S0718-09502013000100008</w:t>
        </w:r>
      </w:hyperlink>
      <w:r w:rsidRPr="00063AA1">
        <w:rPr>
          <w:rFonts w:cs="Times New Roman"/>
        </w:rPr>
        <w:t xml:space="preserve">. </w:t>
      </w:r>
    </w:p>
  </w:footnote>
  <w:footnote w:id="21">
    <w:p w14:paraId="7B1F1369" w14:textId="77777777" w:rsidR="00230C96" w:rsidRPr="00BC17AB" w:rsidRDefault="00230C96" w:rsidP="00230C96">
      <w:pPr>
        <w:pStyle w:val="Sinespaciado"/>
        <w:rPr>
          <w:rFonts w:cs="Times New Roman"/>
          <w:b/>
          <w:sz w:val="22"/>
        </w:rPr>
      </w:pPr>
      <w:r w:rsidRPr="00BC17AB">
        <w:rPr>
          <w:rStyle w:val="Refdenotaalpie"/>
        </w:rPr>
        <w:footnoteRef/>
      </w:r>
      <w:r w:rsidRPr="00BC17AB">
        <w:t xml:space="preserve"> </w:t>
      </w:r>
      <w:r w:rsidRPr="00BC17AB">
        <w:rPr>
          <w:sz w:val="20"/>
          <w:szCs w:val="20"/>
        </w:rPr>
        <w:t>Proposición dejada como constancia. “</w:t>
      </w:r>
      <w:r w:rsidRPr="00BC17AB">
        <w:rPr>
          <w:rFonts w:cs="Times New Roman"/>
          <w:b/>
          <w:bCs/>
          <w:sz w:val="20"/>
          <w:szCs w:val="20"/>
        </w:rPr>
        <w:t>ARTÍCULO 547. </w:t>
      </w:r>
      <w:r w:rsidRPr="00BC17AB">
        <w:rPr>
          <w:rStyle w:val="iaj"/>
          <w:rFonts w:cs="Times New Roman"/>
          <w:b/>
          <w:bCs/>
          <w:iCs/>
          <w:sz w:val="20"/>
          <w:szCs w:val="20"/>
        </w:rPr>
        <w:t>Justicia restaurativa en el procedimiento especial abreviado.</w:t>
      </w:r>
      <w:r w:rsidRPr="00BC17AB">
        <w:rPr>
          <w:rFonts w:cs="Times New Roman"/>
          <w:sz w:val="20"/>
          <w:szCs w:val="20"/>
        </w:rPr>
        <w:t xml:space="preserve"> Los mecanismos de justicia restaurativa podrán aplicarse en cualquier momento del procedimiento abreviado</w:t>
      </w:r>
      <w:r w:rsidRPr="00BC17AB">
        <w:rPr>
          <w:rFonts w:cs="Times New Roman"/>
          <w:b/>
          <w:sz w:val="20"/>
          <w:szCs w:val="20"/>
          <w:u w:val="single"/>
        </w:rPr>
        <w:t>, excepto cuando se trate de casos de violencia intrafamiliar,</w:t>
      </w:r>
      <w:r w:rsidRPr="00BC17AB">
        <w:rPr>
          <w:rFonts w:cs="Times New Roman"/>
          <w:sz w:val="20"/>
          <w:szCs w:val="20"/>
        </w:rPr>
        <w:t xml:space="preserve"> en los términos y condiciones establecidos en el Libro VI hasta antes de que se emita fallo de primera instancia y darán lugar a la extinción de la acción penal de conformidad con lo previsto en los términos de los artículos </w:t>
      </w:r>
      <w:hyperlink r:id="rId5" w:anchor="77" w:history="1">
        <w:r w:rsidRPr="00BC17AB">
          <w:rPr>
            <w:rStyle w:val="Hipervnculo"/>
            <w:rFonts w:cs="Times New Roman"/>
            <w:color w:val="auto"/>
            <w:sz w:val="20"/>
            <w:szCs w:val="20"/>
          </w:rPr>
          <w:t>77</w:t>
        </w:r>
      </w:hyperlink>
      <w:r w:rsidRPr="00BC17AB">
        <w:rPr>
          <w:rFonts w:cs="Times New Roman"/>
          <w:sz w:val="20"/>
          <w:szCs w:val="20"/>
        </w:rPr>
        <w:t> de este Código y </w:t>
      </w:r>
      <w:hyperlink r:id="rId6" w:anchor="82" w:history="1">
        <w:r w:rsidRPr="00BC17AB">
          <w:rPr>
            <w:rStyle w:val="Hipervnculo"/>
            <w:rFonts w:cs="Times New Roman"/>
            <w:color w:val="auto"/>
            <w:sz w:val="20"/>
            <w:szCs w:val="20"/>
          </w:rPr>
          <w:t>82</w:t>
        </w:r>
      </w:hyperlink>
      <w:r w:rsidRPr="00BC17AB">
        <w:rPr>
          <w:rFonts w:cs="Times New Roman"/>
          <w:sz w:val="20"/>
          <w:szCs w:val="20"/>
        </w:rPr>
        <w:t> del Código Penal”.</w:t>
      </w:r>
    </w:p>
  </w:footnote>
  <w:footnote w:id="22">
    <w:p w14:paraId="72389E06" w14:textId="77777777" w:rsidR="00230C96" w:rsidRPr="00BC17AB" w:rsidRDefault="00230C96" w:rsidP="00230C96">
      <w:pPr>
        <w:pStyle w:val="Textonotapie"/>
      </w:pPr>
      <w:r w:rsidRPr="00BC17AB">
        <w:rPr>
          <w:rStyle w:val="Refdenotaalpie"/>
        </w:rPr>
        <w:footnoteRef/>
      </w:r>
      <w:r w:rsidRPr="00BC17AB">
        <w:t xml:space="preserve"> Artículo 547 de la Ley 906 de 2004. “Los mecanismos de justicia restaurativa podrán aplicarse en cualquier momento del procedimiento abreviado en los términos y condiciones establecidos en el Libro VI hasta antes de que se emita fallo de primera instancia y darán lugar a la extinción de la acción penal de conformidad con lo previsto en los términos de los artículos 77 de este Código y 82 del Código Penal”.</w:t>
      </w:r>
    </w:p>
  </w:footnote>
  <w:footnote w:id="23">
    <w:p w14:paraId="05F8DB86" w14:textId="77777777" w:rsidR="008B220D" w:rsidRPr="00063AA1" w:rsidRDefault="008B220D" w:rsidP="008B220D">
      <w:pPr>
        <w:pStyle w:val="Textonotapie"/>
        <w:rPr>
          <w:rFonts w:cs="Times New Roman"/>
        </w:rPr>
      </w:pPr>
      <w:r w:rsidRPr="00063AA1">
        <w:rPr>
          <w:rStyle w:val="Refdenotaalpie"/>
          <w:rFonts w:cs="Times New Roman"/>
        </w:rPr>
        <w:footnoteRef/>
      </w:r>
      <w:r w:rsidRPr="00063AA1">
        <w:rPr>
          <w:rFonts w:cs="Times New Roman"/>
        </w:rPr>
        <w:t xml:space="preserve"> Informe de Ponencia para primer debate en Cámara publicada en la Gaceta 947 de 2018.</w:t>
      </w:r>
    </w:p>
  </w:footnote>
  <w:footnote w:id="24">
    <w:p w14:paraId="370A5D86" w14:textId="77777777" w:rsidR="002046EC" w:rsidRDefault="002046EC">
      <w:pPr>
        <w:pStyle w:val="Textonotapie"/>
      </w:pPr>
      <w:r>
        <w:rPr>
          <w:rStyle w:val="Refdenotaalpie"/>
        </w:rPr>
        <w:footnoteRef/>
      </w:r>
      <w:r>
        <w:t xml:space="preserve"> “</w:t>
      </w:r>
      <w:r w:rsidRPr="002046EC">
        <w:t>Del mismo modo, también la jurisprudencia de esta Corporación ha distinguido entre el derecho al buen nombre y el derecho a la intimidad, entendido este último como “[la] esfera de protección del ámbito privado del individuo y de su familia, la cual se traduce en una abstención de conocimiento e injerencia en aquella órbita reservada que le corresponde a la persona y que escapa al conocimiento público y, por tanto, no debe ser materia de información suministrada a terceros ni de intervención o análisis de grupos ajenos, ni de divulgaciones o publicaciones”[20]. Conforme con ello, mientras el derecho al buen nombre –como ya se indicó– se vulnera como consecuencia de la divulgación de información falsa e inexacta que distorsiona el concepto público que se tiene de una persona afectado su reputación, el derecho a la intimidad se desconoce, además, cuando la información, no obstante ser veraz, exacta e imparcial, traspasa la espera reservada y privada del sujeto sin q</w:t>
      </w:r>
      <w:r>
        <w:t xml:space="preserve">ue medie su autorización previa”. Corte Constitucional, Sentencia T – 022 de 2017, M.P. </w:t>
      </w:r>
      <w:r w:rsidR="00E1457B">
        <w:t xml:space="preserve">Luis Guillermo Guerrero Pérez.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FEE5" w14:textId="3B3368BE" w:rsidR="00355B08" w:rsidRPr="00355B08" w:rsidRDefault="00355B08" w:rsidP="00355B08">
    <w:pPr>
      <w:tabs>
        <w:tab w:val="center" w:pos="4252"/>
        <w:tab w:val="right" w:pos="8504"/>
      </w:tabs>
      <w:spacing w:before="0" w:after="0"/>
      <w:ind w:left="1416"/>
      <w:jc w:val="right"/>
      <w:rPr>
        <w:rFonts w:ascii="Arial" w:eastAsia="Calibri" w:hAnsi="Arial" w:cs="Arial"/>
        <w:b/>
        <w:color w:val="A6A6A6"/>
        <w:sz w:val="21"/>
        <w:u w:val="single"/>
        <w:lang w:val="es-ES"/>
      </w:rPr>
    </w:pPr>
    <w:r w:rsidRPr="00355B08">
      <w:rPr>
        <w:rFonts w:ascii="Calibri" w:eastAsia="Calibri" w:hAnsi="Calibri" w:cs="Times New Roman"/>
        <w:noProof/>
        <w:sz w:val="21"/>
        <w:lang w:eastAsia="es-CO"/>
      </w:rPr>
      <w:drawing>
        <wp:anchor distT="0" distB="0" distL="114300" distR="114300" simplePos="0" relativeHeight="251659264" behindDoc="0" locked="0" layoutInCell="1" allowOverlap="1" wp14:anchorId="38B1F195" wp14:editId="4DF777EB">
          <wp:simplePos x="0" y="0"/>
          <wp:positionH relativeFrom="column">
            <wp:posOffset>-527685</wp:posOffset>
          </wp:positionH>
          <wp:positionV relativeFrom="paragraph">
            <wp:posOffset>-141002</wp:posOffset>
          </wp:positionV>
          <wp:extent cx="2400300" cy="657225"/>
          <wp:effectExtent l="0" t="0" r="0" b="9525"/>
          <wp:wrapSquare wrapText="bothSides"/>
          <wp:docPr id="92" name="Imagen 9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B08">
      <w:rPr>
        <w:rFonts w:ascii="Arial" w:eastAsia="Calibri" w:hAnsi="Arial" w:cs="Arial"/>
        <w:b/>
        <w:color w:val="A6A6A6"/>
        <w:lang w:val="es-ES"/>
      </w:rPr>
      <w:t xml:space="preserve">                   </w:t>
    </w:r>
    <w:r w:rsidRPr="00355B08">
      <w:rPr>
        <w:rFonts w:ascii="Arial" w:eastAsia="Calibri" w:hAnsi="Arial" w:cs="Arial"/>
        <w:b/>
        <w:color w:val="A6A6A6"/>
        <w:u w:val="single"/>
        <w:lang w:val="es-ES"/>
      </w:rPr>
      <w:t>ADRIANA MAGALI MATIZ VARGAS</w:t>
    </w:r>
  </w:p>
  <w:p w14:paraId="3ADC839D" w14:textId="77777777" w:rsidR="00355B08" w:rsidRPr="00355B08" w:rsidRDefault="00355B08" w:rsidP="00355B08">
    <w:pPr>
      <w:tabs>
        <w:tab w:val="center" w:pos="4252"/>
        <w:tab w:val="right" w:pos="8504"/>
      </w:tabs>
      <w:spacing w:before="0" w:after="0"/>
      <w:jc w:val="right"/>
      <w:rPr>
        <w:rFonts w:ascii="Arial" w:eastAsia="Calibri" w:hAnsi="Arial" w:cs="Arial"/>
        <w:b/>
        <w:color w:val="A6A6A6"/>
        <w:sz w:val="21"/>
        <w:lang w:val="es-ES"/>
      </w:rPr>
    </w:pPr>
    <w:r w:rsidRPr="00355B08">
      <w:rPr>
        <w:rFonts w:ascii="Arial" w:eastAsia="Calibri" w:hAnsi="Arial" w:cs="Arial"/>
        <w:b/>
        <w:color w:val="A6A6A6"/>
        <w:sz w:val="21"/>
        <w:lang w:val="es-ES"/>
      </w:rPr>
      <w:t>Representante a la Cámara por el Tolima</w:t>
    </w:r>
    <w:r w:rsidRPr="00355B08">
      <w:rPr>
        <w:rFonts w:ascii="Arial" w:eastAsia="Calibri" w:hAnsi="Arial" w:cs="Arial"/>
        <w:b/>
        <w:color w:val="A6A6A6"/>
        <w:sz w:val="21"/>
        <w:lang w:val="es-ES"/>
      </w:rPr>
      <w:br/>
      <w:t>Partido Conservador</w:t>
    </w:r>
  </w:p>
  <w:p w14:paraId="1E6BD5B0" w14:textId="77777777" w:rsidR="00355B08" w:rsidRDefault="00355B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57D8"/>
    <w:multiLevelType w:val="multilevel"/>
    <w:tmpl w:val="11E4DDEC"/>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4B02ED3"/>
    <w:multiLevelType w:val="multilevel"/>
    <w:tmpl w:val="2C784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FA3D96"/>
    <w:multiLevelType w:val="hybridMultilevel"/>
    <w:tmpl w:val="8A545514"/>
    <w:lvl w:ilvl="0" w:tplc="1062C2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0275C60"/>
    <w:multiLevelType w:val="hybridMultilevel"/>
    <w:tmpl w:val="C5223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06A5D09"/>
    <w:multiLevelType w:val="multilevel"/>
    <w:tmpl w:val="2C784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AEA7DD4"/>
    <w:multiLevelType w:val="hybridMultilevel"/>
    <w:tmpl w:val="3634E36E"/>
    <w:lvl w:ilvl="0" w:tplc="A0E85A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B5801D0"/>
    <w:multiLevelType w:val="hybridMultilevel"/>
    <w:tmpl w:val="8E7E1A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77E25F9E"/>
    <w:multiLevelType w:val="multilevel"/>
    <w:tmpl w:val="2C784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8E6A8C"/>
    <w:multiLevelType w:val="hybridMultilevel"/>
    <w:tmpl w:val="B86CA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8"/>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F3"/>
    <w:rsid w:val="0000099F"/>
    <w:rsid w:val="0000235D"/>
    <w:rsid w:val="0000768E"/>
    <w:rsid w:val="000230C5"/>
    <w:rsid w:val="000272BF"/>
    <w:rsid w:val="000302DF"/>
    <w:rsid w:val="00056AED"/>
    <w:rsid w:val="00065B5C"/>
    <w:rsid w:val="0008328E"/>
    <w:rsid w:val="000A1621"/>
    <w:rsid w:val="000C225A"/>
    <w:rsid w:val="000D1E6A"/>
    <w:rsid w:val="000D52D1"/>
    <w:rsid w:val="00101CC5"/>
    <w:rsid w:val="001138FF"/>
    <w:rsid w:val="00117417"/>
    <w:rsid w:val="00123F63"/>
    <w:rsid w:val="00130092"/>
    <w:rsid w:val="00142FC4"/>
    <w:rsid w:val="00145934"/>
    <w:rsid w:val="00167307"/>
    <w:rsid w:val="001845E0"/>
    <w:rsid w:val="001D17C8"/>
    <w:rsid w:val="001F279B"/>
    <w:rsid w:val="002010AB"/>
    <w:rsid w:val="002046EC"/>
    <w:rsid w:val="00207B09"/>
    <w:rsid w:val="00211AD9"/>
    <w:rsid w:val="00216340"/>
    <w:rsid w:val="0022673C"/>
    <w:rsid w:val="00227BF4"/>
    <w:rsid w:val="00230C96"/>
    <w:rsid w:val="002428F3"/>
    <w:rsid w:val="002455C5"/>
    <w:rsid w:val="0024614B"/>
    <w:rsid w:val="00246862"/>
    <w:rsid w:val="002A2568"/>
    <w:rsid w:val="002A4129"/>
    <w:rsid w:val="002A5A2A"/>
    <w:rsid w:val="002C3004"/>
    <w:rsid w:val="002F354F"/>
    <w:rsid w:val="003036FA"/>
    <w:rsid w:val="0034467B"/>
    <w:rsid w:val="00355B08"/>
    <w:rsid w:val="0036034C"/>
    <w:rsid w:val="003B6A3D"/>
    <w:rsid w:val="003D0341"/>
    <w:rsid w:val="003D3058"/>
    <w:rsid w:val="003F7EF2"/>
    <w:rsid w:val="004124D0"/>
    <w:rsid w:val="00412EFA"/>
    <w:rsid w:val="00416B5F"/>
    <w:rsid w:val="00417498"/>
    <w:rsid w:val="004178E5"/>
    <w:rsid w:val="00434D3D"/>
    <w:rsid w:val="00436871"/>
    <w:rsid w:val="00443203"/>
    <w:rsid w:val="00445F6F"/>
    <w:rsid w:val="004517A8"/>
    <w:rsid w:val="004776B2"/>
    <w:rsid w:val="004934EC"/>
    <w:rsid w:val="004953C8"/>
    <w:rsid w:val="004A6BE2"/>
    <w:rsid w:val="00501707"/>
    <w:rsid w:val="0051069A"/>
    <w:rsid w:val="00520A1C"/>
    <w:rsid w:val="00521CF3"/>
    <w:rsid w:val="00566AFF"/>
    <w:rsid w:val="005B7746"/>
    <w:rsid w:val="005C2C1A"/>
    <w:rsid w:val="005D0230"/>
    <w:rsid w:val="005D26E0"/>
    <w:rsid w:val="005E5BA0"/>
    <w:rsid w:val="005F0705"/>
    <w:rsid w:val="0061351C"/>
    <w:rsid w:val="006209B0"/>
    <w:rsid w:val="0063011F"/>
    <w:rsid w:val="00632E91"/>
    <w:rsid w:val="00634CEF"/>
    <w:rsid w:val="006426C1"/>
    <w:rsid w:val="00646503"/>
    <w:rsid w:val="00646D48"/>
    <w:rsid w:val="00646D81"/>
    <w:rsid w:val="00651F96"/>
    <w:rsid w:val="00682C52"/>
    <w:rsid w:val="006858F7"/>
    <w:rsid w:val="00696C1C"/>
    <w:rsid w:val="006A2B91"/>
    <w:rsid w:val="006A6FC2"/>
    <w:rsid w:val="006A7696"/>
    <w:rsid w:val="006B16EA"/>
    <w:rsid w:val="006F3948"/>
    <w:rsid w:val="00707BA5"/>
    <w:rsid w:val="00716DDE"/>
    <w:rsid w:val="007247FD"/>
    <w:rsid w:val="007326A1"/>
    <w:rsid w:val="00741C2D"/>
    <w:rsid w:val="007503D8"/>
    <w:rsid w:val="00754A89"/>
    <w:rsid w:val="007646F7"/>
    <w:rsid w:val="00790D43"/>
    <w:rsid w:val="007932DE"/>
    <w:rsid w:val="007A0412"/>
    <w:rsid w:val="007B50E2"/>
    <w:rsid w:val="007C1956"/>
    <w:rsid w:val="007E19AC"/>
    <w:rsid w:val="00801AB6"/>
    <w:rsid w:val="00803174"/>
    <w:rsid w:val="00836755"/>
    <w:rsid w:val="008414BB"/>
    <w:rsid w:val="008435C7"/>
    <w:rsid w:val="00845D3A"/>
    <w:rsid w:val="008763E9"/>
    <w:rsid w:val="008A4CA1"/>
    <w:rsid w:val="008B220D"/>
    <w:rsid w:val="008B51F1"/>
    <w:rsid w:val="008C19F1"/>
    <w:rsid w:val="008C772D"/>
    <w:rsid w:val="00922030"/>
    <w:rsid w:val="00924A43"/>
    <w:rsid w:val="00926992"/>
    <w:rsid w:val="00947D4B"/>
    <w:rsid w:val="009555E7"/>
    <w:rsid w:val="0095608A"/>
    <w:rsid w:val="009A2ED5"/>
    <w:rsid w:val="009A4F0E"/>
    <w:rsid w:val="009A690F"/>
    <w:rsid w:val="009B2C87"/>
    <w:rsid w:val="009D35CE"/>
    <w:rsid w:val="009D5D7A"/>
    <w:rsid w:val="009D7BC3"/>
    <w:rsid w:val="009F49A5"/>
    <w:rsid w:val="00A002DA"/>
    <w:rsid w:val="00A00E19"/>
    <w:rsid w:val="00A40E89"/>
    <w:rsid w:val="00A43365"/>
    <w:rsid w:val="00A4463C"/>
    <w:rsid w:val="00A761A8"/>
    <w:rsid w:val="00A77AEB"/>
    <w:rsid w:val="00A86790"/>
    <w:rsid w:val="00A94C1C"/>
    <w:rsid w:val="00AA7EC5"/>
    <w:rsid w:val="00AB0FC2"/>
    <w:rsid w:val="00AC1ABE"/>
    <w:rsid w:val="00AC6528"/>
    <w:rsid w:val="00AC73FF"/>
    <w:rsid w:val="00AD2A07"/>
    <w:rsid w:val="00AF2379"/>
    <w:rsid w:val="00B118D6"/>
    <w:rsid w:val="00B12F4A"/>
    <w:rsid w:val="00B138A9"/>
    <w:rsid w:val="00B23BBD"/>
    <w:rsid w:val="00B33D63"/>
    <w:rsid w:val="00B45E73"/>
    <w:rsid w:val="00B47115"/>
    <w:rsid w:val="00B86A5F"/>
    <w:rsid w:val="00B973C8"/>
    <w:rsid w:val="00BA5DF4"/>
    <w:rsid w:val="00BA6699"/>
    <w:rsid w:val="00BB5EC8"/>
    <w:rsid w:val="00BE4563"/>
    <w:rsid w:val="00BF1AFF"/>
    <w:rsid w:val="00BF419B"/>
    <w:rsid w:val="00BF6501"/>
    <w:rsid w:val="00BF72F3"/>
    <w:rsid w:val="00C05086"/>
    <w:rsid w:val="00C05616"/>
    <w:rsid w:val="00C1342A"/>
    <w:rsid w:val="00C32F57"/>
    <w:rsid w:val="00C342C4"/>
    <w:rsid w:val="00C34E27"/>
    <w:rsid w:val="00C41BEF"/>
    <w:rsid w:val="00C70506"/>
    <w:rsid w:val="00D075CD"/>
    <w:rsid w:val="00D13332"/>
    <w:rsid w:val="00D360A2"/>
    <w:rsid w:val="00D43477"/>
    <w:rsid w:val="00D6541D"/>
    <w:rsid w:val="00D86B83"/>
    <w:rsid w:val="00D91564"/>
    <w:rsid w:val="00D92841"/>
    <w:rsid w:val="00DD5381"/>
    <w:rsid w:val="00DE6966"/>
    <w:rsid w:val="00E1457B"/>
    <w:rsid w:val="00E2419F"/>
    <w:rsid w:val="00E44D93"/>
    <w:rsid w:val="00E63269"/>
    <w:rsid w:val="00E936A0"/>
    <w:rsid w:val="00EA1AEF"/>
    <w:rsid w:val="00EA46E7"/>
    <w:rsid w:val="00EB3114"/>
    <w:rsid w:val="00EC3B0A"/>
    <w:rsid w:val="00ED5B91"/>
    <w:rsid w:val="00EE0C8C"/>
    <w:rsid w:val="00EF5546"/>
    <w:rsid w:val="00EF5B99"/>
    <w:rsid w:val="00F36849"/>
    <w:rsid w:val="00F46471"/>
    <w:rsid w:val="00F53A9D"/>
    <w:rsid w:val="00F64EA1"/>
    <w:rsid w:val="00F77E92"/>
    <w:rsid w:val="00F8685B"/>
    <w:rsid w:val="00F91BF9"/>
    <w:rsid w:val="00FA58EB"/>
    <w:rsid w:val="00FC5E6B"/>
    <w:rsid w:val="00FC6A69"/>
    <w:rsid w:val="00FD044C"/>
    <w:rsid w:val="00FD0C08"/>
    <w:rsid w:val="00FD3A88"/>
    <w:rsid w:val="00FE2597"/>
    <w:rsid w:val="00FE42C1"/>
    <w:rsid w:val="00FE7380"/>
    <w:rsid w:val="00FF0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6791"/>
  <w15:chartTrackingRefBased/>
  <w15:docId w15:val="{F64A5F62-01DE-4260-915C-4B3562AE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árrafos"/>
    <w:qFormat/>
    <w:rsid w:val="00B86A5F"/>
    <w:pPr>
      <w:spacing w:before="240" w:after="240" w:line="240" w:lineRule="auto"/>
      <w:jc w:val="both"/>
    </w:pPr>
    <w:rPr>
      <w:rFonts w:ascii="Times New Roman" w:hAnsi="Times New Roman"/>
      <w:sz w:val="24"/>
    </w:rPr>
  </w:style>
  <w:style w:type="paragraph" w:styleId="Ttulo1">
    <w:name w:val="heading 1"/>
    <w:basedOn w:val="Normal"/>
    <w:next w:val="Normal"/>
    <w:link w:val="Ttulo1Car"/>
    <w:uiPriority w:val="9"/>
    <w:qFormat/>
    <w:rsid w:val="00B86A5F"/>
    <w:pPr>
      <w:jc w:val="center"/>
      <w:outlineLvl w:val="0"/>
    </w:pPr>
    <w:rPr>
      <w:b/>
    </w:rPr>
  </w:style>
  <w:style w:type="paragraph" w:styleId="Ttulo2">
    <w:name w:val="heading 2"/>
    <w:basedOn w:val="Normal"/>
    <w:next w:val="Normal"/>
    <w:link w:val="Ttulo2Car"/>
    <w:uiPriority w:val="9"/>
    <w:unhideWhenUsed/>
    <w:qFormat/>
    <w:rsid w:val="00F868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86A5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A5F"/>
    <w:rPr>
      <w:rFonts w:ascii="Times New Roman" w:hAnsi="Times New Roman"/>
      <w:b/>
      <w:sz w:val="24"/>
    </w:rPr>
  </w:style>
  <w:style w:type="character" w:customStyle="1" w:styleId="Ttulo3Car">
    <w:name w:val="Título 3 Car"/>
    <w:basedOn w:val="Fuentedeprrafopredeter"/>
    <w:link w:val="Ttulo3"/>
    <w:uiPriority w:val="9"/>
    <w:rsid w:val="00B86A5F"/>
    <w:rPr>
      <w:rFonts w:asciiTheme="majorHAnsi" w:eastAsiaTheme="majorEastAsia" w:hAnsiTheme="majorHAnsi" w:cstheme="majorBidi"/>
      <w:color w:val="1F4D78" w:themeColor="accent1" w:themeShade="7F"/>
      <w:sz w:val="24"/>
      <w:szCs w:val="24"/>
    </w:rPr>
  </w:style>
  <w:style w:type="paragraph" w:styleId="Sinespaciado">
    <w:name w:val="No Spacing"/>
    <w:aliases w:val="Gráficos"/>
    <w:link w:val="SinespaciadoCar"/>
    <w:uiPriority w:val="1"/>
    <w:qFormat/>
    <w:rsid w:val="00B86A5F"/>
    <w:pPr>
      <w:spacing w:after="0" w:line="240" w:lineRule="auto"/>
      <w:jc w:val="both"/>
    </w:pPr>
    <w:rPr>
      <w:rFonts w:ascii="Times New Roman" w:hAnsi="Times New Roman"/>
      <w:sz w:val="24"/>
    </w:rPr>
  </w:style>
  <w:style w:type="character" w:customStyle="1" w:styleId="SinespaciadoCar">
    <w:name w:val="Sin espaciado Car"/>
    <w:aliases w:val="Gráficos Car"/>
    <w:link w:val="Sinespaciado"/>
    <w:uiPriority w:val="1"/>
    <w:locked/>
    <w:rsid w:val="00B86A5F"/>
    <w:rPr>
      <w:rFonts w:ascii="Times New Roman" w:hAnsi="Times New Roman"/>
      <w:sz w:val="24"/>
    </w:rPr>
  </w:style>
  <w:style w:type="paragraph" w:styleId="Textonotapie">
    <w:name w:val="footnote text"/>
    <w:aliases w:val="Ref. de nota al pie1,Footnote Text Char Char Char Char,Footnote Text Char,FA,FA Fußnotentext,Footnote Text Char Char,F,FA3,FA Fu,Footnote Text Char Char Char Char Char Char Char Char,Footnote Text Char Char Char Char Char Char1,Nota a pie"/>
    <w:basedOn w:val="Normal"/>
    <w:link w:val="TextonotapieCar"/>
    <w:uiPriority w:val="99"/>
    <w:unhideWhenUsed/>
    <w:qFormat/>
    <w:rsid w:val="00B86A5F"/>
    <w:pPr>
      <w:spacing w:before="0" w:after="0"/>
    </w:pPr>
    <w:rPr>
      <w:sz w:val="20"/>
      <w:szCs w:val="20"/>
    </w:rPr>
  </w:style>
  <w:style w:type="character" w:customStyle="1" w:styleId="TextonotapieCar">
    <w:name w:val="Texto nota pie Car"/>
    <w:aliases w:val="Ref. de nota al pie1 Car,Footnote Text Char Char Char Char Car,Footnote Text Char Car,FA Car,FA Fußnotentext Car,Footnote Text Char Char Car,F Car,FA3 Car,FA Fu Car,Footnote Text Char Char Char Char Char Char Char Char Car"/>
    <w:basedOn w:val="Fuentedeprrafopredeter"/>
    <w:link w:val="Textonotapie"/>
    <w:uiPriority w:val="99"/>
    <w:rsid w:val="00B86A5F"/>
    <w:rPr>
      <w:rFonts w:ascii="Times New Roman" w:hAnsi="Times New Roman"/>
      <w:sz w:val="20"/>
      <w:szCs w:val="20"/>
    </w:rPr>
  </w:style>
  <w:style w:type="character" w:styleId="Refdenotaalpie">
    <w:name w:val="footnote reference"/>
    <w:aliases w:val="Ref,de nota al pie,Ref1,Texto de nota al pie,referencia nota al pie,Footnotes refss,Appel note de bas de page,Footnote number,BVI fnr,f,Ref. de nota al pie 2,Fago Fußnotenzeichen,Nota de pie,Texto nota al pie,Footnote symbol,Footnote"/>
    <w:basedOn w:val="Fuentedeprrafopredeter"/>
    <w:uiPriority w:val="99"/>
    <w:unhideWhenUsed/>
    <w:qFormat/>
    <w:rsid w:val="00B86A5F"/>
    <w:rPr>
      <w:vertAlign w:val="superscript"/>
    </w:rPr>
  </w:style>
  <w:style w:type="paragraph" w:styleId="Prrafodelista">
    <w:name w:val="List Paragraph"/>
    <w:basedOn w:val="Normal"/>
    <w:uiPriority w:val="34"/>
    <w:qFormat/>
    <w:rsid w:val="00B86A5F"/>
    <w:pPr>
      <w:ind w:left="720"/>
      <w:contextualSpacing/>
    </w:pPr>
  </w:style>
  <w:style w:type="table" w:styleId="Tablaconcuadrcula">
    <w:name w:val="Table Grid"/>
    <w:basedOn w:val="Tablanormal"/>
    <w:uiPriority w:val="39"/>
    <w:rsid w:val="00B86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6A5F"/>
    <w:pPr>
      <w:spacing w:before="100" w:beforeAutospacing="1" w:after="100" w:afterAutospacing="1"/>
      <w:jc w:val="left"/>
    </w:pPr>
    <w:rPr>
      <w:rFonts w:eastAsia="Times New Roman" w:cs="Times New Roman"/>
      <w:szCs w:val="24"/>
      <w:lang w:eastAsia="es-CO"/>
    </w:rPr>
  </w:style>
  <w:style w:type="character" w:styleId="Hipervnculo">
    <w:name w:val="Hyperlink"/>
    <w:basedOn w:val="Fuentedeprrafopredeter"/>
    <w:uiPriority w:val="99"/>
    <w:unhideWhenUsed/>
    <w:rsid w:val="00B86A5F"/>
    <w:rPr>
      <w:color w:val="0563C1" w:themeColor="hyperlink"/>
      <w:u w:val="single"/>
    </w:rPr>
  </w:style>
  <w:style w:type="character" w:styleId="Refdecomentario">
    <w:name w:val="annotation reference"/>
    <w:basedOn w:val="Fuentedeprrafopredeter"/>
    <w:uiPriority w:val="99"/>
    <w:semiHidden/>
    <w:unhideWhenUsed/>
    <w:rsid w:val="00B86A5F"/>
    <w:rPr>
      <w:sz w:val="16"/>
      <w:szCs w:val="16"/>
    </w:rPr>
  </w:style>
  <w:style w:type="paragraph" w:styleId="Textocomentario">
    <w:name w:val="annotation text"/>
    <w:basedOn w:val="Normal"/>
    <w:link w:val="TextocomentarioCar"/>
    <w:uiPriority w:val="99"/>
    <w:semiHidden/>
    <w:unhideWhenUsed/>
    <w:rsid w:val="00B86A5F"/>
    <w:rPr>
      <w:sz w:val="20"/>
      <w:szCs w:val="20"/>
    </w:rPr>
  </w:style>
  <w:style w:type="character" w:customStyle="1" w:styleId="TextocomentarioCar">
    <w:name w:val="Texto comentario Car"/>
    <w:basedOn w:val="Fuentedeprrafopredeter"/>
    <w:link w:val="Textocomentario"/>
    <w:uiPriority w:val="99"/>
    <w:semiHidden/>
    <w:rsid w:val="00B86A5F"/>
    <w:rPr>
      <w:rFonts w:ascii="Times New Roman" w:hAnsi="Times New Roman"/>
      <w:sz w:val="20"/>
      <w:szCs w:val="20"/>
    </w:rPr>
  </w:style>
  <w:style w:type="paragraph" w:styleId="Textodeglobo">
    <w:name w:val="Balloon Text"/>
    <w:basedOn w:val="Normal"/>
    <w:link w:val="TextodegloboCar"/>
    <w:uiPriority w:val="99"/>
    <w:semiHidden/>
    <w:unhideWhenUsed/>
    <w:rsid w:val="00B86A5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A5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86A5F"/>
    <w:rPr>
      <w:b/>
      <w:bCs/>
    </w:rPr>
  </w:style>
  <w:style w:type="character" w:customStyle="1" w:styleId="AsuntodelcomentarioCar">
    <w:name w:val="Asunto del comentario Car"/>
    <w:basedOn w:val="TextocomentarioCar"/>
    <w:link w:val="Asuntodelcomentario"/>
    <w:uiPriority w:val="99"/>
    <w:semiHidden/>
    <w:rsid w:val="00B86A5F"/>
    <w:rPr>
      <w:rFonts w:ascii="Times New Roman" w:hAnsi="Times New Roman"/>
      <w:b/>
      <w:bCs/>
      <w:sz w:val="20"/>
      <w:szCs w:val="20"/>
    </w:rPr>
  </w:style>
  <w:style w:type="character" w:styleId="Hipervnculovisitado">
    <w:name w:val="FollowedHyperlink"/>
    <w:basedOn w:val="Fuentedeprrafopredeter"/>
    <w:uiPriority w:val="99"/>
    <w:semiHidden/>
    <w:unhideWhenUsed/>
    <w:rsid w:val="00B86A5F"/>
    <w:rPr>
      <w:color w:val="954F72" w:themeColor="followedHyperlink"/>
      <w:u w:val="single"/>
    </w:rPr>
  </w:style>
  <w:style w:type="character" w:customStyle="1" w:styleId="Ttulo2Car">
    <w:name w:val="Título 2 Car"/>
    <w:basedOn w:val="Fuentedeprrafopredeter"/>
    <w:link w:val="Ttulo2"/>
    <w:uiPriority w:val="9"/>
    <w:rsid w:val="00F8685B"/>
    <w:rPr>
      <w:rFonts w:asciiTheme="majorHAnsi" w:eastAsiaTheme="majorEastAsia" w:hAnsiTheme="majorHAnsi" w:cstheme="majorBidi"/>
      <w:color w:val="2E74B5" w:themeColor="accent1" w:themeShade="BF"/>
      <w:sz w:val="26"/>
      <w:szCs w:val="26"/>
    </w:rPr>
  </w:style>
  <w:style w:type="character" w:customStyle="1" w:styleId="iaj">
    <w:name w:val="i_aj"/>
    <w:basedOn w:val="Fuentedeprrafopredeter"/>
    <w:rsid w:val="004A6BE2"/>
  </w:style>
  <w:style w:type="paragraph" w:styleId="Revisin">
    <w:name w:val="Revision"/>
    <w:hidden/>
    <w:uiPriority w:val="99"/>
    <w:semiHidden/>
    <w:rsid w:val="003D3058"/>
    <w:pPr>
      <w:spacing w:after="0" w:line="240" w:lineRule="auto"/>
    </w:pPr>
    <w:rPr>
      <w:rFonts w:ascii="Times New Roman" w:hAnsi="Times New Roman"/>
      <w:sz w:val="24"/>
    </w:rPr>
  </w:style>
  <w:style w:type="paragraph" w:styleId="Encabezado">
    <w:name w:val="header"/>
    <w:basedOn w:val="Normal"/>
    <w:link w:val="EncabezadoCar"/>
    <w:uiPriority w:val="99"/>
    <w:unhideWhenUsed/>
    <w:rsid w:val="00355B08"/>
    <w:pPr>
      <w:tabs>
        <w:tab w:val="center" w:pos="4419"/>
        <w:tab w:val="right" w:pos="8838"/>
      </w:tabs>
      <w:spacing w:before="0" w:after="0"/>
    </w:pPr>
  </w:style>
  <w:style w:type="character" w:customStyle="1" w:styleId="EncabezadoCar">
    <w:name w:val="Encabezado Car"/>
    <w:basedOn w:val="Fuentedeprrafopredeter"/>
    <w:link w:val="Encabezado"/>
    <w:uiPriority w:val="99"/>
    <w:rsid w:val="00355B08"/>
    <w:rPr>
      <w:rFonts w:ascii="Times New Roman" w:hAnsi="Times New Roman"/>
      <w:sz w:val="24"/>
    </w:rPr>
  </w:style>
  <w:style w:type="paragraph" w:styleId="Piedepgina">
    <w:name w:val="footer"/>
    <w:basedOn w:val="Normal"/>
    <w:link w:val="PiedepginaCar"/>
    <w:uiPriority w:val="99"/>
    <w:unhideWhenUsed/>
    <w:rsid w:val="00355B08"/>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55B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mujeressinviolencia/articulos/comprender-el-circulo-de-la-violencia-es-el-primer-paso-para-romperlo" TargetMode="External"/><Relationship Id="rId2" Type="http://schemas.openxmlformats.org/officeDocument/2006/relationships/hyperlink" Target="http://www.scielo.org.co/scielo.php?script=sci_arttext&amp;pid=S0123-885X2004000100003" TargetMode="External"/><Relationship Id="rId1" Type="http://schemas.openxmlformats.org/officeDocument/2006/relationships/hyperlink" Target="http://www.scielo.org.co/scielo.php?script=sci_arttext&amp;pid=S0123-885X2004000100003" TargetMode="External"/><Relationship Id="rId6" Type="http://schemas.openxmlformats.org/officeDocument/2006/relationships/hyperlink" Target="http://www.secretariasenado.gov.co/senado/basedoc/ley_0599_2000_pr002.html" TargetMode="External"/><Relationship Id="rId5" Type="http://schemas.openxmlformats.org/officeDocument/2006/relationships/hyperlink" Target="http://www.secretariasenado.gov.co/senado/basedoc/ley_0906_2004_pr001.html" TargetMode="External"/><Relationship Id="rId4" Type="http://schemas.openxmlformats.org/officeDocument/2006/relationships/hyperlink" Target="https://scielo.conicyt.cl/scielo.php?script=sci_arttext&amp;pid=S0718-09502013000100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4886-B421-419A-8803-1E1110C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6543</Words>
  <Characters>35987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Botero Ramirez</dc:creator>
  <cp:keywords/>
  <dc:description/>
  <cp:lastModifiedBy>juliana macias barreto utl.HR Adriana Magali Matiz</cp:lastModifiedBy>
  <cp:revision>3</cp:revision>
  <cp:lastPrinted>2018-12-13T15:20:00Z</cp:lastPrinted>
  <dcterms:created xsi:type="dcterms:W3CDTF">2018-12-13T15:19:00Z</dcterms:created>
  <dcterms:modified xsi:type="dcterms:W3CDTF">2018-12-13T15:27:00Z</dcterms:modified>
</cp:coreProperties>
</file>